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D997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4F226E1D" w14:textId="77777777" w:rsidR="001F0C50" w:rsidRPr="00682F0B" w:rsidRDefault="00F4609E" w:rsidP="003775D6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5B3CFC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Раздел 8 — Руководство по сертификату качества ICAR</w:t>
      </w:r>
    </w:p>
    <w:p w14:paraId="76E73CE7" w14:textId="77777777" w:rsidR="005F0D17" w:rsidRPr="00682F0B" w:rsidRDefault="005F0D17" w:rsidP="003775D6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2018591D" w14:textId="77777777" w:rsidR="001F0C50" w:rsidRPr="00682F0B" w:rsidRDefault="00F4609E" w:rsidP="003775D6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086A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8 — Сертификат качества</w:t>
      </w:r>
    </w:p>
    <w:p w14:paraId="611F764A" w14:textId="77777777" w:rsidR="001E781F" w:rsidRPr="00682F0B" w:rsidRDefault="00F4609E" w:rsidP="003775D6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5B3CFC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2019 г.</w:t>
      </w:r>
    </w:p>
    <w:p w14:paraId="0F09DD09" w14:textId="77777777" w:rsidR="001F0C50" w:rsidRPr="005F0D17" w:rsidRDefault="00F4609E" w:rsidP="003775D6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</w:rPr>
      </w:pPr>
      <w:r w:rsidRPr="005B3CFC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</w:t>
      </w:r>
      <w:r w:rsidRPr="00682F0B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5B3CFC">
        <w:rPr>
          <w:rFonts w:ascii="Times New Roman" w:hAnsi="Times New Roman" w:cs="Times New Roman"/>
          <w:color w:val="0082BD"/>
          <w:sz w:val="20"/>
          <w:szCs w:val="20"/>
          <w:lang w:val="ru"/>
        </w:rPr>
        <w:t>на</w:t>
      </w:r>
      <w:r w:rsidRPr="00682F0B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5B3CFC">
        <w:rPr>
          <w:rFonts w:ascii="Times New Roman" w:hAnsi="Times New Roman" w:cs="Times New Roman"/>
          <w:color w:val="0082BD"/>
          <w:sz w:val="20"/>
          <w:szCs w:val="20"/>
          <w:lang w:val="ru"/>
        </w:rPr>
        <w:t>файл</w:t>
      </w:r>
      <w:r w:rsidRPr="00682F0B">
        <w:rPr>
          <w:rFonts w:ascii="Times New Roman" w:hAnsi="Times New Roman" w:cs="Times New Roman"/>
          <w:color w:val="0082BD"/>
          <w:sz w:val="20"/>
          <w:szCs w:val="20"/>
        </w:rPr>
        <w:t>: 08 Certificate of Quality v19.01.docx</w:t>
      </w:r>
    </w:p>
    <w:p w14:paraId="0871682E" w14:textId="77777777" w:rsidR="0085133C" w:rsidRPr="005F0D17" w:rsidRDefault="00F4609E" w:rsidP="003775D6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D17">
        <w:rPr>
          <w:rFonts w:ascii="Times New Roman" w:hAnsi="Times New Roman" w:cs="Times New Roman"/>
          <w:sz w:val="24"/>
          <w:szCs w:val="24"/>
        </w:rPr>
        <w:br w:type="page"/>
      </w:r>
    </w:p>
    <w:p w14:paraId="01B67240" w14:textId="77777777" w:rsidR="001F0C50" w:rsidRPr="005F0D17" w:rsidRDefault="00F4609E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4F49A3F1" w14:textId="77777777" w:rsidR="005F0D17" w:rsidRPr="005F0D17" w:rsidRDefault="00F4609E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0B9BC756" wp14:editId="723AF26D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57233236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1</w:t>
      </w:r>
      <w:r w:rsidRPr="000C6614">
        <w:rPr>
          <w:rFonts w:eastAsia="Arial"/>
          <w:noProof/>
          <w:lang w:val="ru"/>
        </w:rPr>
        <w:tab/>
        <w:t>Введение</w:t>
      </w:r>
      <w:r w:rsidRPr="000C6614">
        <w:rPr>
          <w:rFonts w:eastAsia="Arial"/>
          <w:noProof/>
          <w:lang w:val="ru"/>
        </w:rPr>
        <w:tab/>
        <w:t>5</w:t>
      </w:r>
    </w:p>
    <w:p w14:paraId="7C4A3467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1.1</w:t>
      </w:r>
      <w:r w:rsidRPr="000C6614">
        <w:rPr>
          <w:rFonts w:eastAsia="Arial"/>
          <w:noProof/>
          <w:lang w:val="ru"/>
        </w:rPr>
        <w:tab/>
        <w:t>Вводная часть</w:t>
      </w:r>
      <w:r w:rsidRPr="000C6614">
        <w:rPr>
          <w:rFonts w:eastAsia="Arial"/>
          <w:noProof/>
          <w:lang w:val="ru"/>
        </w:rPr>
        <w:tab/>
        <w:t>5</w:t>
      </w:r>
    </w:p>
    <w:p w14:paraId="45C95E1C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1.2</w:t>
      </w:r>
      <w:r w:rsidRPr="000C6614">
        <w:rPr>
          <w:rFonts w:eastAsia="Arial"/>
          <w:noProof/>
          <w:lang w:val="ru"/>
        </w:rPr>
        <w:tab/>
        <w:t xml:space="preserve">Назначение </w:t>
      </w:r>
      <w:r w:rsidRPr="000C6614">
        <w:rPr>
          <w:rFonts w:eastAsia="Arial"/>
          <w:noProof/>
          <w:lang w:val="ru"/>
        </w:rPr>
        <w:t>документа</w:t>
      </w:r>
      <w:r w:rsidRPr="000C6614">
        <w:rPr>
          <w:rFonts w:eastAsia="Arial"/>
          <w:noProof/>
          <w:lang w:val="ru"/>
        </w:rPr>
        <w:tab/>
        <w:t>5</w:t>
      </w:r>
    </w:p>
    <w:p w14:paraId="592C3A67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1.3</w:t>
      </w:r>
      <w:r w:rsidRPr="000C6614">
        <w:rPr>
          <w:rFonts w:eastAsia="Arial"/>
          <w:noProof/>
          <w:lang w:val="ru"/>
        </w:rPr>
        <w:tab/>
        <w:t>Преимущества</w:t>
      </w:r>
      <w:r w:rsidRPr="000C6614">
        <w:rPr>
          <w:rFonts w:eastAsia="Arial"/>
          <w:noProof/>
          <w:lang w:val="ru"/>
        </w:rPr>
        <w:tab/>
        <w:t>5</w:t>
      </w:r>
    </w:p>
    <w:p w14:paraId="10C96048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2</w:t>
      </w:r>
      <w:r w:rsidRPr="000C6614">
        <w:rPr>
          <w:rFonts w:eastAsia="Arial"/>
          <w:noProof/>
          <w:lang w:val="ru"/>
        </w:rPr>
        <w:tab/>
        <w:t>Определения и терминология</w:t>
      </w:r>
      <w:r w:rsidRPr="000C6614">
        <w:rPr>
          <w:rFonts w:eastAsia="Arial"/>
          <w:noProof/>
          <w:lang w:val="ru"/>
        </w:rPr>
        <w:tab/>
        <w:t>5</w:t>
      </w:r>
    </w:p>
    <w:p w14:paraId="187F5BFC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3</w:t>
      </w:r>
      <w:r w:rsidRPr="000C6614">
        <w:rPr>
          <w:rFonts w:eastAsia="Arial"/>
          <w:noProof/>
          <w:lang w:val="ru"/>
        </w:rPr>
        <w:tab/>
        <w:t>Область применения</w:t>
      </w:r>
      <w:r w:rsidRPr="000C6614">
        <w:rPr>
          <w:rFonts w:eastAsia="Arial"/>
          <w:noProof/>
          <w:lang w:val="ru"/>
        </w:rPr>
        <w:tab/>
        <w:t>6</w:t>
      </w:r>
    </w:p>
    <w:p w14:paraId="68F8A45E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4</w:t>
      </w:r>
      <w:r w:rsidRPr="000C6614">
        <w:rPr>
          <w:rFonts w:eastAsia="Arial"/>
          <w:noProof/>
          <w:lang w:val="ru"/>
        </w:rPr>
        <w:tab/>
        <w:t>Экспертно-консультативная группа</w:t>
      </w:r>
      <w:r w:rsidRPr="000C6614">
        <w:rPr>
          <w:rFonts w:eastAsia="Arial"/>
          <w:noProof/>
          <w:lang w:val="ru"/>
        </w:rPr>
        <w:tab/>
        <w:t>6</w:t>
      </w:r>
    </w:p>
    <w:p w14:paraId="25C6917A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4.1</w:t>
      </w:r>
      <w:r w:rsidRPr="000C6614">
        <w:rPr>
          <w:rFonts w:eastAsia="Arial"/>
          <w:noProof/>
          <w:lang w:val="ru"/>
        </w:rPr>
        <w:tab/>
        <w:t>Содержание программы СК</w:t>
      </w:r>
      <w:r w:rsidRPr="000C6614">
        <w:rPr>
          <w:rFonts w:eastAsia="Arial"/>
          <w:noProof/>
          <w:lang w:val="ru"/>
        </w:rPr>
        <w:tab/>
        <w:t>6</w:t>
      </w:r>
    </w:p>
    <w:p w14:paraId="4DC7BB4E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4.2</w:t>
      </w:r>
      <w:r w:rsidRPr="000C6614">
        <w:rPr>
          <w:rFonts w:eastAsia="Arial"/>
          <w:noProof/>
          <w:lang w:val="ru"/>
        </w:rPr>
        <w:tab/>
        <w:t>Управление программой СК</w:t>
      </w:r>
      <w:r w:rsidRPr="000C6614">
        <w:rPr>
          <w:rFonts w:eastAsia="Arial"/>
          <w:noProof/>
          <w:lang w:val="ru"/>
        </w:rPr>
        <w:tab/>
        <w:t>7</w:t>
      </w:r>
    </w:p>
    <w:p w14:paraId="02696BD8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4.3</w:t>
      </w:r>
      <w:r w:rsidRPr="000C6614">
        <w:rPr>
          <w:rFonts w:eastAsia="Arial"/>
          <w:noProof/>
          <w:lang w:val="ru"/>
        </w:rPr>
        <w:tab/>
        <w:t>Анкеты и основания для оценки</w:t>
      </w:r>
      <w:r w:rsidRPr="000C6614">
        <w:rPr>
          <w:rFonts w:eastAsia="Arial"/>
          <w:noProof/>
          <w:lang w:val="ru"/>
        </w:rPr>
        <w:tab/>
        <w:t>7</w:t>
      </w:r>
    </w:p>
    <w:p w14:paraId="215ADC0B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5</w:t>
      </w:r>
      <w:r w:rsidRPr="000C6614">
        <w:rPr>
          <w:rFonts w:eastAsia="Arial"/>
          <w:noProof/>
          <w:lang w:val="ru"/>
        </w:rPr>
        <w:tab/>
        <w:t xml:space="preserve">Сферы деятельности, </w:t>
      </w:r>
      <w:r w:rsidRPr="000C6614">
        <w:rPr>
          <w:rFonts w:eastAsia="Arial"/>
          <w:noProof/>
          <w:lang w:val="ru"/>
        </w:rPr>
        <w:t>доступные для сертификации</w:t>
      </w:r>
      <w:r w:rsidRPr="000C6614">
        <w:rPr>
          <w:rFonts w:eastAsia="Arial"/>
          <w:noProof/>
          <w:lang w:val="ru"/>
        </w:rPr>
        <w:tab/>
        <w:t>7</w:t>
      </w:r>
    </w:p>
    <w:p w14:paraId="35B849AC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6</w:t>
      </w:r>
      <w:r w:rsidRPr="000C6614">
        <w:rPr>
          <w:rFonts w:eastAsia="Arial"/>
          <w:noProof/>
          <w:lang w:val="ru"/>
        </w:rPr>
        <w:tab/>
        <w:t>Запросы на сертификацию</w:t>
      </w:r>
      <w:r w:rsidRPr="000C6614">
        <w:rPr>
          <w:rFonts w:eastAsia="Arial"/>
          <w:noProof/>
          <w:lang w:val="ru"/>
        </w:rPr>
        <w:tab/>
        <w:t>8</w:t>
      </w:r>
    </w:p>
    <w:p w14:paraId="79EF1463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</w:t>
      </w:r>
      <w:r w:rsidRPr="000C6614">
        <w:rPr>
          <w:rFonts w:eastAsia="Arial"/>
          <w:noProof/>
          <w:lang w:val="ru"/>
        </w:rPr>
        <w:tab/>
        <w:t>Процедура аудита</w:t>
      </w:r>
      <w:r w:rsidRPr="000C6614">
        <w:rPr>
          <w:rFonts w:eastAsia="Arial"/>
          <w:noProof/>
          <w:lang w:val="ru"/>
        </w:rPr>
        <w:tab/>
        <w:t>8</w:t>
      </w:r>
    </w:p>
    <w:p w14:paraId="63EE100D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7.1</w:t>
      </w:r>
      <w:r w:rsidRPr="000C6614">
        <w:rPr>
          <w:rFonts w:eastAsia="Arial"/>
          <w:noProof/>
          <w:lang w:val="ru"/>
        </w:rPr>
        <w:tab/>
        <w:t>Напоминание</w:t>
      </w:r>
      <w:r w:rsidRPr="000C6614">
        <w:rPr>
          <w:rFonts w:eastAsia="Arial"/>
          <w:noProof/>
          <w:lang w:val="ru"/>
        </w:rPr>
        <w:tab/>
        <w:t>8</w:t>
      </w:r>
    </w:p>
    <w:p w14:paraId="3EEAA6C1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7.2</w:t>
      </w:r>
      <w:r w:rsidRPr="000C6614">
        <w:rPr>
          <w:rFonts w:eastAsia="Arial"/>
          <w:noProof/>
          <w:lang w:val="ru"/>
        </w:rPr>
        <w:tab/>
        <w:t>Заявка и предоплата</w:t>
      </w:r>
      <w:r w:rsidRPr="000C6614">
        <w:rPr>
          <w:rFonts w:eastAsia="Arial"/>
          <w:noProof/>
          <w:lang w:val="ru"/>
        </w:rPr>
        <w:tab/>
        <w:t>8</w:t>
      </w:r>
    </w:p>
    <w:p w14:paraId="4B0C0065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7.3</w:t>
      </w:r>
      <w:r w:rsidRPr="000C6614">
        <w:rPr>
          <w:rFonts w:eastAsia="Arial"/>
          <w:noProof/>
          <w:lang w:val="ru"/>
        </w:rPr>
        <w:tab/>
        <w:t>График</w:t>
      </w:r>
      <w:r w:rsidRPr="000C6614">
        <w:rPr>
          <w:rFonts w:eastAsia="Arial"/>
          <w:noProof/>
          <w:lang w:val="ru"/>
        </w:rPr>
        <w:tab/>
        <w:t>8</w:t>
      </w:r>
    </w:p>
    <w:p w14:paraId="26780B12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7.4</w:t>
      </w:r>
      <w:r w:rsidRPr="000C6614">
        <w:rPr>
          <w:rFonts w:eastAsia="Arial"/>
          <w:noProof/>
          <w:lang w:val="ru"/>
        </w:rPr>
        <w:tab/>
        <w:t>Внутренний аудит</w:t>
      </w:r>
      <w:r w:rsidRPr="000C6614">
        <w:rPr>
          <w:rFonts w:eastAsia="Arial"/>
          <w:noProof/>
          <w:lang w:val="ru"/>
        </w:rPr>
        <w:tab/>
        <w:t>8</w:t>
      </w:r>
    </w:p>
    <w:p w14:paraId="664D65FD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7.5</w:t>
      </w:r>
      <w:r w:rsidRPr="000C6614">
        <w:rPr>
          <w:rFonts w:eastAsia="Arial"/>
          <w:noProof/>
          <w:lang w:val="ru"/>
        </w:rPr>
        <w:tab/>
        <w:t>Этап получения разъяснений</w:t>
      </w:r>
      <w:r w:rsidRPr="000C6614">
        <w:rPr>
          <w:rFonts w:eastAsia="Arial"/>
          <w:noProof/>
          <w:lang w:val="ru"/>
        </w:rPr>
        <w:tab/>
        <w:t>9</w:t>
      </w:r>
    </w:p>
    <w:p w14:paraId="424E7A72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7.6</w:t>
      </w:r>
      <w:r w:rsidRPr="000C6614">
        <w:rPr>
          <w:rFonts w:eastAsia="Arial"/>
          <w:noProof/>
          <w:lang w:val="ru"/>
        </w:rPr>
        <w:tab/>
        <w:t>Посещение аудитора</w:t>
      </w:r>
      <w:r w:rsidRPr="000C6614">
        <w:rPr>
          <w:rFonts w:eastAsia="Arial"/>
          <w:noProof/>
          <w:lang w:val="ru"/>
        </w:rPr>
        <w:tab/>
        <w:t>9</w:t>
      </w:r>
    </w:p>
    <w:p w14:paraId="57BC3198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7.7</w:t>
      </w:r>
      <w:r w:rsidRPr="000C6614">
        <w:rPr>
          <w:rFonts w:eastAsia="Arial"/>
          <w:noProof/>
          <w:lang w:val="ru"/>
        </w:rPr>
        <w:tab/>
        <w:t>Окончательный расчет</w:t>
      </w:r>
      <w:r w:rsidRPr="000C6614">
        <w:rPr>
          <w:rFonts w:eastAsia="Arial"/>
          <w:noProof/>
          <w:lang w:val="ru"/>
        </w:rPr>
        <w:tab/>
        <w:t>9</w:t>
      </w:r>
    </w:p>
    <w:p w14:paraId="69C76750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7.8</w:t>
      </w:r>
      <w:r w:rsidRPr="000C6614">
        <w:rPr>
          <w:rFonts w:eastAsia="Arial"/>
          <w:noProof/>
          <w:lang w:val="ru"/>
        </w:rPr>
        <w:tab/>
        <w:t>Отчет ауд</w:t>
      </w:r>
      <w:r w:rsidRPr="000C6614">
        <w:rPr>
          <w:rFonts w:eastAsia="Arial"/>
          <w:noProof/>
          <w:lang w:val="ru"/>
        </w:rPr>
        <w:t>итора</w:t>
      </w:r>
      <w:r w:rsidRPr="000C6614">
        <w:rPr>
          <w:rFonts w:eastAsia="Arial"/>
          <w:noProof/>
          <w:lang w:val="ru"/>
        </w:rPr>
        <w:tab/>
        <w:t>9</w:t>
      </w:r>
    </w:p>
    <w:p w14:paraId="21D352C3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7.9</w:t>
      </w:r>
      <w:r w:rsidRPr="000C6614">
        <w:rPr>
          <w:rFonts w:eastAsia="Arial"/>
          <w:noProof/>
          <w:lang w:val="ru"/>
        </w:rPr>
        <w:tab/>
        <w:t>Оценочная анкета</w:t>
      </w:r>
      <w:r w:rsidRPr="000C6614">
        <w:rPr>
          <w:rFonts w:eastAsia="Arial"/>
          <w:noProof/>
          <w:lang w:val="ru"/>
        </w:rPr>
        <w:tab/>
        <w:t>10</w:t>
      </w:r>
    </w:p>
    <w:p w14:paraId="431ACF7E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7.10</w:t>
      </w:r>
      <w:r w:rsidRPr="000C6614">
        <w:rPr>
          <w:rFonts w:eastAsia="Arial"/>
          <w:noProof/>
          <w:lang w:val="ru"/>
        </w:rPr>
        <w:tab/>
        <w:t>Вознаграждение аудитора</w:t>
      </w:r>
      <w:r w:rsidRPr="000C6614">
        <w:rPr>
          <w:rFonts w:eastAsia="Arial"/>
          <w:noProof/>
          <w:lang w:val="ru"/>
        </w:rPr>
        <w:tab/>
        <w:t>10</w:t>
      </w:r>
    </w:p>
    <w:p w14:paraId="7696E7A4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7.11</w:t>
      </w:r>
      <w:r w:rsidRPr="000C6614">
        <w:rPr>
          <w:rFonts w:eastAsia="Arial"/>
          <w:noProof/>
          <w:lang w:val="ru"/>
        </w:rPr>
        <w:tab/>
        <w:t>Утверждение ГД и уведомление Совета</w:t>
      </w:r>
      <w:r w:rsidRPr="000C6614">
        <w:rPr>
          <w:rFonts w:eastAsia="Arial"/>
          <w:noProof/>
          <w:lang w:val="ru"/>
        </w:rPr>
        <w:tab/>
        <w:t>10</w:t>
      </w:r>
    </w:p>
    <w:p w14:paraId="16417ABD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7.12</w:t>
      </w:r>
      <w:r w:rsidRPr="000C6614">
        <w:rPr>
          <w:rFonts w:eastAsia="Arial"/>
          <w:noProof/>
          <w:lang w:val="ru"/>
        </w:rPr>
        <w:tab/>
        <w:t>Вручение сертификата</w:t>
      </w:r>
      <w:r w:rsidRPr="000C6614">
        <w:rPr>
          <w:rFonts w:eastAsia="Arial"/>
          <w:noProof/>
          <w:lang w:val="ru"/>
        </w:rPr>
        <w:tab/>
        <w:t>10</w:t>
      </w:r>
    </w:p>
    <w:p w14:paraId="690E5762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</w:t>
      </w:r>
      <w:r w:rsidRPr="000C6614">
        <w:rPr>
          <w:rFonts w:eastAsia="Arial"/>
          <w:noProof/>
          <w:lang w:val="ru"/>
        </w:rPr>
        <w:tab/>
        <w:t>Процедура консультативного обзора</w:t>
      </w:r>
      <w:r w:rsidRPr="000C6614">
        <w:rPr>
          <w:rFonts w:eastAsia="Arial"/>
          <w:noProof/>
          <w:lang w:val="ru"/>
        </w:rPr>
        <w:tab/>
        <w:t>10</w:t>
      </w:r>
    </w:p>
    <w:p w14:paraId="663B49AE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8.1</w:t>
      </w:r>
      <w:r w:rsidRPr="000C6614">
        <w:rPr>
          <w:rFonts w:eastAsia="Arial"/>
          <w:noProof/>
          <w:lang w:val="ru"/>
        </w:rPr>
        <w:tab/>
        <w:t>Напоминание</w:t>
      </w:r>
      <w:r w:rsidRPr="000C6614">
        <w:rPr>
          <w:rFonts w:eastAsia="Arial"/>
          <w:noProof/>
          <w:lang w:val="ru"/>
        </w:rPr>
        <w:tab/>
        <w:t>10</w:t>
      </w:r>
    </w:p>
    <w:p w14:paraId="0B867474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8.2</w:t>
      </w:r>
      <w:r w:rsidRPr="000C6614">
        <w:rPr>
          <w:rFonts w:eastAsia="Arial"/>
          <w:noProof/>
          <w:lang w:val="ru"/>
        </w:rPr>
        <w:tab/>
        <w:t>Заявка и предоплата</w:t>
      </w:r>
      <w:r w:rsidRPr="000C6614">
        <w:rPr>
          <w:rFonts w:eastAsia="Arial"/>
          <w:noProof/>
          <w:lang w:val="ru"/>
        </w:rPr>
        <w:tab/>
        <w:t>10</w:t>
      </w:r>
    </w:p>
    <w:p w14:paraId="402E2A42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8.3</w:t>
      </w:r>
      <w:r w:rsidRPr="000C6614">
        <w:rPr>
          <w:rFonts w:eastAsia="Arial"/>
          <w:noProof/>
          <w:lang w:val="ru"/>
        </w:rPr>
        <w:tab/>
        <w:t>График</w:t>
      </w:r>
      <w:r w:rsidRPr="000C6614">
        <w:rPr>
          <w:rFonts w:eastAsia="Arial"/>
          <w:noProof/>
          <w:lang w:val="ru"/>
        </w:rPr>
        <w:tab/>
        <w:t>11</w:t>
      </w:r>
    </w:p>
    <w:p w14:paraId="4617EE95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8.4</w:t>
      </w:r>
      <w:r w:rsidRPr="000C6614">
        <w:rPr>
          <w:rFonts w:eastAsia="Arial"/>
          <w:noProof/>
          <w:lang w:val="ru"/>
        </w:rPr>
        <w:tab/>
        <w:t>Анкета</w:t>
      </w:r>
      <w:r w:rsidRPr="000C6614">
        <w:rPr>
          <w:rFonts w:eastAsia="Arial"/>
          <w:noProof/>
          <w:lang w:val="ru"/>
        </w:rPr>
        <w:tab/>
        <w:t>11</w:t>
      </w:r>
    </w:p>
    <w:p w14:paraId="1F28A458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8.5</w:t>
      </w:r>
      <w:r w:rsidRPr="000C6614">
        <w:rPr>
          <w:rFonts w:eastAsia="Arial"/>
          <w:noProof/>
          <w:lang w:val="ru"/>
        </w:rPr>
        <w:tab/>
      </w:r>
      <w:r w:rsidRPr="000C6614">
        <w:rPr>
          <w:rFonts w:eastAsia="Arial"/>
          <w:noProof/>
          <w:lang w:val="ru"/>
        </w:rPr>
        <w:t>Этап получения разъяснений</w:t>
      </w:r>
      <w:r w:rsidRPr="000C6614">
        <w:rPr>
          <w:rFonts w:eastAsia="Arial"/>
          <w:noProof/>
          <w:lang w:val="ru"/>
        </w:rPr>
        <w:tab/>
        <w:t>11</w:t>
      </w:r>
    </w:p>
    <w:p w14:paraId="7535921E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8.6</w:t>
      </w:r>
      <w:r w:rsidRPr="000C6614">
        <w:rPr>
          <w:rFonts w:eastAsia="Arial"/>
          <w:noProof/>
          <w:lang w:val="ru"/>
        </w:rPr>
        <w:tab/>
        <w:t>Окончательный расчет</w:t>
      </w:r>
      <w:r w:rsidRPr="000C6614">
        <w:rPr>
          <w:rFonts w:eastAsia="Arial"/>
          <w:noProof/>
          <w:lang w:val="ru"/>
        </w:rPr>
        <w:tab/>
        <w:t>11</w:t>
      </w:r>
    </w:p>
    <w:p w14:paraId="2333740C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8.7</w:t>
      </w:r>
      <w:r w:rsidRPr="000C6614">
        <w:rPr>
          <w:rFonts w:eastAsia="Arial"/>
          <w:noProof/>
          <w:lang w:val="ru"/>
        </w:rPr>
        <w:tab/>
        <w:t>Отчет аудитора</w:t>
      </w:r>
      <w:r w:rsidRPr="000C6614">
        <w:rPr>
          <w:rFonts w:eastAsia="Arial"/>
          <w:noProof/>
          <w:lang w:val="ru"/>
        </w:rPr>
        <w:tab/>
        <w:t>11</w:t>
      </w:r>
    </w:p>
    <w:p w14:paraId="07F7C09C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8.8</w:t>
      </w:r>
      <w:r w:rsidRPr="000C6614">
        <w:rPr>
          <w:rFonts w:eastAsia="Arial"/>
          <w:noProof/>
          <w:lang w:val="ru"/>
        </w:rPr>
        <w:tab/>
        <w:t>Оценочная анкета</w:t>
      </w:r>
      <w:r w:rsidRPr="000C6614">
        <w:rPr>
          <w:rFonts w:eastAsia="Arial"/>
          <w:noProof/>
          <w:lang w:val="ru"/>
        </w:rPr>
        <w:tab/>
        <w:t>11</w:t>
      </w:r>
    </w:p>
    <w:p w14:paraId="46A4E8C1" w14:textId="77777777" w:rsidR="005B3CFC" w:rsidRPr="00682F0B" w:rsidRDefault="00F4609E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8.9</w:t>
      </w:r>
      <w:r w:rsidRPr="000C6614">
        <w:rPr>
          <w:rFonts w:eastAsia="Arial"/>
          <w:noProof/>
          <w:lang w:val="ru"/>
        </w:rPr>
        <w:tab/>
        <w:t>Вознаграждение аудитора</w:t>
      </w:r>
      <w:r w:rsidRPr="000C6614">
        <w:rPr>
          <w:rFonts w:eastAsia="Arial"/>
          <w:noProof/>
          <w:lang w:val="ru"/>
        </w:rPr>
        <w:tab/>
        <w:t>11</w:t>
      </w:r>
    </w:p>
    <w:p w14:paraId="3F8203EA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9</w:t>
      </w:r>
      <w:r w:rsidRPr="000C6614">
        <w:rPr>
          <w:rFonts w:eastAsia="Arial"/>
          <w:noProof/>
          <w:lang w:val="ru"/>
        </w:rPr>
        <w:tab/>
        <w:t>Срок действия сертификата</w:t>
      </w:r>
      <w:r w:rsidRPr="000C6614">
        <w:rPr>
          <w:rFonts w:eastAsia="Arial"/>
          <w:noProof/>
          <w:lang w:val="ru"/>
        </w:rPr>
        <w:tab/>
        <w:t>12</w:t>
      </w:r>
    </w:p>
    <w:p w14:paraId="79DCECA4" w14:textId="77777777" w:rsidR="005B3CFC" w:rsidRPr="00682F0B" w:rsidRDefault="00F4609E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0C6614">
        <w:rPr>
          <w:rFonts w:eastAsia="Arial"/>
          <w:noProof/>
          <w:lang w:val="ru"/>
        </w:rPr>
        <w:t>10</w:t>
      </w:r>
      <w:r w:rsidRPr="000C6614">
        <w:rPr>
          <w:rFonts w:eastAsia="Arial"/>
          <w:noProof/>
          <w:lang w:val="ru"/>
        </w:rPr>
        <w:tab/>
        <w:t>Приложения</w:t>
      </w:r>
      <w:r w:rsidRPr="000C6614">
        <w:rPr>
          <w:rFonts w:eastAsia="Arial"/>
          <w:noProof/>
          <w:lang w:val="ru"/>
        </w:rPr>
        <w:tab/>
        <w:t>12</w:t>
      </w:r>
    </w:p>
    <w:p w14:paraId="2B6F381B" w14:textId="77777777" w:rsidR="004C7DA2" w:rsidRPr="00682F0B" w:rsidRDefault="004C7DA2" w:rsidP="0068086A">
      <w:pPr>
        <w:spacing w:after="360"/>
        <w:rPr>
          <w:lang w:val="ru-RU"/>
        </w:rPr>
      </w:pPr>
    </w:p>
    <w:p w14:paraId="64C82645" w14:textId="77777777" w:rsidR="0056063D" w:rsidRPr="00682F0B" w:rsidRDefault="00F4609E" w:rsidP="00610D16">
      <w:pPr>
        <w:pStyle w:val="00"/>
        <w:pageBreakBefore/>
        <w:rPr>
          <w:lang w:val="ru-RU"/>
        </w:rPr>
      </w:pPr>
      <w:r w:rsidRPr="0056063D">
        <w:rPr>
          <w:lang w:val="ru"/>
        </w:rPr>
        <w:lastRenderedPageBreak/>
        <w:t>Сводка изменений</w:t>
      </w:r>
    </w:p>
    <w:p w14:paraId="6D710353" w14:textId="77777777" w:rsidR="0056063D" w:rsidRPr="005F0D17" w:rsidRDefault="00F4609E" w:rsidP="005B3CFC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A7324AD" wp14:editId="0E52DC0A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23997453" w14:textId="77777777" w:rsidR="001F0C50" w:rsidRPr="00847C67" w:rsidRDefault="001F0C50" w:rsidP="005B3CFC">
      <w:pPr>
        <w:pStyle w:val="101"/>
        <w:shd w:val="clear" w:color="auto" w:fill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Overlap w:val="never"/>
        <w:tblW w:w="9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270"/>
      </w:tblGrid>
      <w:tr w:rsidR="00E42B3E" w14:paraId="767BCEC3" w14:textId="77777777" w:rsidTr="00682F0B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60A7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D1F6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E42B3E" w14:paraId="522B1591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80D8C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Апрель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6D54" w14:textId="77777777" w:rsidR="001F0C50" w:rsidRPr="005B3CFC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Первый проект включен в стандартный шаблон Руководства ICAR. Добавлен рисунок в разделе «Области применения». Определения и терминология перемещены в начало документа.</w:t>
            </w:r>
          </w:p>
        </w:tc>
      </w:tr>
      <w:tr w:rsidR="00E42B3E" w14:paraId="23EB936E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744A6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Июнь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18081" w14:textId="77777777" w:rsidR="001F0C50" w:rsidRPr="005B3CFC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Включены правки на основе отзывов ЭКГ СК. Добавлены ссылки на другие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разделы сайта ICAR. Изменения шаблона, включая имя файла и оформление рисунков.</w:t>
            </w:r>
          </w:p>
        </w:tc>
      </w:tr>
      <w:tr w:rsidR="00E42B3E" w:rsidRPr="00682F0B" w14:paraId="681E3B4F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3B024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Июнь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90C01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Правки в версию 7.11 и 7.12, предложенные Мартином Берком.</w:t>
            </w:r>
          </w:p>
        </w:tc>
      </w:tr>
      <w:tr w:rsidR="00E42B3E" w:rsidRPr="00682F0B" w14:paraId="5DCC1FC0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62156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Июль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9BFB4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Проект одобрен Советом ICAR 24 июля 2018 года.</w:t>
            </w:r>
          </w:p>
        </w:tc>
      </w:tr>
      <w:tr w:rsidR="00E42B3E" w14:paraId="4EBB65FF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AEDE6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59900" w14:textId="77777777" w:rsidR="001F0C50" w:rsidRPr="005B3CFC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Правки в п. 7.6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(«Посещение аудитора») с указанием ожидаемых результатов для ведущего аудитора до того, как аудитор покинет объект. По запросу ГД и Председателя ЭКГ СК.</w:t>
            </w:r>
          </w:p>
        </w:tc>
      </w:tr>
      <w:tr w:rsidR="00E42B3E" w:rsidRPr="00682F0B" w14:paraId="312F07AF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4CF0B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77F96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Исправление в п. 7.4 — во второе предложение добавлено слово «быть», в заголовок вставл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ен «-». Правки Совета ICAR в 4.2 и 7.4 для внесения ясности и исправления грамматических ошибок.</w:t>
            </w:r>
          </w:p>
          <w:p w14:paraId="387665E0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Завершено оформление для передачи на утверждение Генеральной Ассамблеи.</w:t>
            </w:r>
          </w:p>
        </w:tc>
      </w:tr>
      <w:tr w:rsidR="00E42B3E" w:rsidRPr="00682F0B" w14:paraId="396CFCCC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69F16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1F904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Отзыв от участника из Польши по поводу ЭКГ СК с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предложением следующих изменений для обеспечения ясности и последовательности:</w:t>
            </w:r>
          </w:p>
          <w:p w14:paraId="67CAE930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>к Рисунку 1 — уточнить, что утверждение предоставляется ГД ICAR, и добавить оценочную анкету,</w:t>
            </w:r>
          </w:p>
          <w:p w14:paraId="6E60D55D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>к пп. 7.8 и 8.7 — обеспечить соответствие с Рисунком 1,</w:t>
            </w:r>
          </w:p>
          <w:p w14:paraId="13E64574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>добавить ГД в определ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ения в Таблице 1,</w:t>
            </w:r>
          </w:p>
          <w:p w14:paraId="04031F94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>отредактировать п. 4.2h, уточнив, что речь идет о Секретариате ICAR,</w:t>
            </w:r>
          </w:p>
          <w:p w14:paraId="06DF193B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 xml:space="preserve">в п. 7.6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«ведущий аудитор»</w:t>
            </w:r>
            <w:r w:rsidRPr="005B3CFC">
              <w:rPr>
                <w:rFonts w:ascii="Times New Roman" w:eastAsia="Cambria" w:hAnsi="Times New Roman" w:cs="Times New Roman"/>
                <w:szCs w:val="24"/>
                <w:lang w:val="ru"/>
              </w:rPr>
              <w:t xml:space="preserve"> изменено на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«аудитор»,</w:t>
            </w:r>
          </w:p>
          <w:p w14:paraId="37D7A335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i/>
                <w:iCs/>
                <w:szCs w:val="24"/>
                <w:lang w:val="ru"/>
              </w:rPr>
              <w:t>•</w:t>
            </w:r>
            <w:r w:rsidRPr="005B3CFC">
              <w:rPr>
                <w:rFonts w:ascii="Times New Roman" w:eastAsia="Cambria" w:hAnsi="Times New Roman" w:cs="Times New Roman"/>
                <w:szCs w:val="24"/>
                <w:lang w:val="ru"/>
              </w:rPr>
              <w:tab/>
              <w:t>в п. 7.9 добавлено предложение, указывающее цель опроса,</w:t>
            </w:r>
          </w:p>
          <w:p w14:paraId="669CF9A0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 xml:space="preserve">в п. 8.2 добавлено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«не позднее»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 xml:space="preserve"> для согласования с п. 8.1,</w:t>
            </w:r>
          </w:p>
          <w:p w14:paraId="2F215301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 xml:space="preserve">в п. 8.4 ...Анкета будет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«доставлена»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 xml:space="preserve"> аудитору... (не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«возвращена»),</w:t>
            </w:r>
          </w:p>
          <w:p w14:paraId="2C7A2C13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i/>
                <w:iCs/>
                <w:szCs w:val="24"/>
                <w:lang w:val="ru"/>
              </w:rPr>
              <w:t>•</w:t>
            </w:r>
            <w:r w:rsidRPr="005B3CFC">
              <w:rPr>
                <w:rFonts w:ascii="Times New Roman" w:eastAsia="Cambria" w:hAnsi="Times New Roman" w:cs="Times New Roman"/>
                <w:szCs w:val="24"/>
                <w:lang w:val="ru"/>
              </w:rPr>
              <w:tab/>
              <w:t>в п. 8.6 удалить весь первый абзац, так как он противоречит второму абзацу,</w:t>
            </w:r>
          </w:p>
          <w:p w14:paraId="65F99F27" w14:textId="77777777" w:rsidR="001F0C50" w:rsidRPr="00682F0B" w:rsidRDefault="00F4609E" w:rsidP="005B3CFC">
            <w:pPr>
              <w:pStyle w:val="a4"/>
              <w:shd w:val="clear" w:color="auto" w:fill="auto"/>
              <w:spacing w:after="60" w:line="240" w:lineRule="auto"/>
              <w:ind w:left="551" w:right="57" w:hanging="21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  <w:t xml:space="preserve">в п. 8.7 во втором абзаце добавлено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«для одной или нескольких СД:»</w:t>
            </w:r>
          </w:p>
          <w:p w14:paraId="345B9B99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51" w:right="57" w:hanging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ab/>
            </w:r>
            <w:r w:rsidRPr="005B3CFC">
              <w:rPr>
                <w:rFonts w:ascii="Times New Roman" w:eastAsia="Arial" w:hAnsi="Times New Roman" w:cs="Times New Roman"/>
                <w:szCs w:val="24"/>
                <w:lang w:val="ru"/>
              </w:rPr>
              <w:t xml:space="preserve">в п. 8.8 слово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«аудит»</w:t>
            </w:r>
            <w:r w:rsidRPr="005B3CFC">
              <w:rPr>
                <w:rFonts w:ascii="Times New Roman" w:eastAsia="Cambria" w:hAnsi="Times New Roman" w:cs="Times New Roman"/>
                <w:szCs w:val="24"/>
                <w:lang w:val="ru"/>
              </w:rPr>
              <w:t xml:space="preserve"> заменено на </w:t>
            </w:r>
            <w:r w:rsidRPr="005B3CFC">
              <w:rPr>
                <w:rFonts w:ascii="Times New Roman" w:eastAsia="Cambria" w:hAnsi="Times New Roman" w:cs="Times New Roman"/>
                <w:i/>
                <w:iCs/>
                <w:szCs w:val="24"/>
                <w:lang w:val="ru"/>
              </w:rPr>
              <w:t>«консультативный обзор».</w:t>
            </w:r>
          </w:p>
        </w:tc>
      </w:tr>
      <w:tr w:rsidR="00E42B3E" w14:paraId="51E3E65D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AEB23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Ноябрь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B6D10" w14:textId="77777777" w:rsidR="001F0C50" w:rsidRPr="005B3CFC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Публикация одобрена.</w:t>
            </w:r>
          </w:p>
        </w:tc>
      </w:tr>
      <w:tr w:rsidR="00E42B3E" w:rsidRPr="00682F0B" w14:paraId="0EA217C1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958D3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Январь 2019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164BB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новая глава 9, посвященная сроку действия сертификата, номера следующих глав изменены соответствующим образом.</w:t>
            </w:r>
          </w:p>
        </w:tc>
      </w:tr>
      <w:tr w:rsidR="00E42B3E" w:rsidRPr="00682F0B" w14:paraId="32DDD6C8" w14:textId="77777777" w:rsidTr="00682F0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5F4F7" w14:textId="77777777" w:rsidR="001F0C50" w:rsidRPr="005B3CFC" w:rsidRDefault="00F4609E" w:rsidP="0068086A">
            <w:pPr>
              <w:pStyle w:val="a4"/>
              <w:shd w:val="clear" w:color="auto" w:fill="auto"/>
              <w:spacing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Февраль 2019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3AE39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Правки, предложенные Секретариатом ICAR, включают в себя следующие: изменен рисунок в разделе области применения, чтобы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включить письмо-подтверждение для консультативного обзора; п. 4.2h расширен для охвата форм, представленных на веб-сайте; в п. 7.5 добав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лено дополнительное предложение, касающееся ресурсов для аудита — людей и времени; п. 7.10 переписан с целью более подробного описания процесса; п. 8.7 переформулирован, чтобы уточнить, что консультативный обзор проводится для продления существующего серти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фиката.</w:t>
            </w:r>
          </w:p>
          <w:p w14:paraId="7A7FC2B4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Исправлены мелкие грамматические и орфографические ошибки.</w:t>
            </w:r>
          </w:p>
          <w:p w14:paraId="125D794A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Январские и февральские изменения одобрены Советом ICAR для передачи Генеральной ассамблее для одобрения публикации.</w:t>
            </w:r>
          </w:p>
          <w:p w14:paraId="2702D623" w14:textId="77777777" w:rsidR="001F0C50" w:rsidRPr="00682F0B" w:rsidRDefault="00F4609E" w:rsidP="005B3CFC">
            <w:pPr>
              <w:pStyle w:val="a4"/>
              <w:shd w:val="clear" w:color="auto" w:fill="auto"/>
              <w:spacing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Версия v. 19.01 одобрена членами ICAR</w:t>
            </w:r>
          </w:p>
        </w:tc>
      </w:tr>
    </w:tbl>
    <w:p w14:paraId="038576E0" w14:textId="77777777" w:rsidR="001F0C50" w:rsidRPr="00682F0B" w:rsidRDefault="00F4609E" w:rsidP="00B05E6A">
      <w:pPr>
        <w:spacing w:after="120"/>
        <w:jc w:val="both"/>
        <w:rPr>
          <w:lang w:val="ru-RU"/>
        </w:rPr>
      </w:pPr>
      <w:r w:rsidRPr="00682F0B">
        <w:rPr>
          <w:lang w:val="ru-RU"/>
        </w:rPr>
        <w:lastRenderedPageBreak/>
        <w:br w:type="page"/>
      </w:r>
    </w:p>
    <w:p w14:paraId="322E160A" w14:textId="77777777" w:rsidR="001F0C50" w:rsidRPr="00682F0B" w:rsidRDefault="00F4609E" w:rsidP="005B3CFC">
      <w:pPr>
        <w:pStyle w:val="110"/>
        <w:rPr>
          <w:lang w:val="ru-RU"/>
        </w:rPr>
      </w:pPr>
      <w:bookmarkStart w:id="0" w:name="bookmark830"/>
      <w:bookmarkStart w:id="1" w:name="bookmark829"/>
      <w:bookmarkStart w:id="2" w:name="_Toc93222338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Введение</w:t>
      </w:r>
      <w:bookmarkEnd w:id="0"/>
      <w:bookmarkEnd w:id="1"/>
      <w:bookmarkEnd w:id="2"/>
    </w:p>
    <w:p w14:paraId="2D104CFC" w14:textId="77777777" w:rsidR="001F0C50" w:rsidRPr="00682F0B" w:rsidRDefault="00F4609E" w:rsidP="005B3CFC">
      <w:pPr>
        <w:pStyle w:val="120"/>
        <w:rPr>
          <w:lang w:val="ru-RU"/>
        </w:rPr>
      </w:pPr>
      <w:bookmarkStart w:id="3" w:name="bookmark832"/>
      <w:bookmarkStart w:id="4" w:name="bookmark831"/>
      <w:bookmarkStart w:id="5" w:name="_Toc93222339"/>
      <w:r w:rsidRPr="00847C67">
        <w:rPr>
          <w:lang w:val="ru"/>
        </w:rPr>
        <w:t>1.1</w:t>
      </w:r>
      <w:r w:rsidRPr="00847C67">
        <w:rPr>
          <w:lang w:val="ru"/>
        </w:rPr>
        <w:tab/>
        <w:t xml:space="preserve">Вводная </w:t>
      </w:r>
      <w:r w:rsidRPr="00847C67">
        <w:rPr>
          <w:lang w:val="ru"/>
        </w:rPr>
        <w:t>часть</w:t>
      </w:r>
      <w:bookmarkEnd w:id="3"/>
      <w:bookmarkEnd w:id="4"/>
      <w:bookmarkEnd w:id="5"/>
    </w:p>
    <w:p w14:paraId="656620BC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Программа Сертификата качества ICAR была учреждена Генеральной Ассамблеей ICAR в 2006 году. Она заменила использовавшуюся ранее постоянную специальную печать ICAR, которая стала недействительной к 2009 году.</w:t>
      </w:r>
    </w:p>
    <w:p w14:paraId="1A02A730" w14:textId="77777777" w:rsidR="001F0C50" w:rsidRPr="00682F0B" w:rsidRDefault="00F4609E" w:rsidP="005B3CFC">
      <w:pPr>
        <w:pStyle w:val="120"/>
        <w:rPr>
          <w:lang w:val="ru-RU"/>
        </w:rPr>
      </w:pPr>
      <w:bookmarkStart w:id="6" w:name="bookmark834"/>
      <w:bookmarkStart w:id="7" w:name="bookmark833"/>
      <w:bookmarkStart w:id="8" w:name="_Toc93222340"/>
      <w:r w:rsidRPr="00847C67">
        <w:rPr>
          <w:lang w:val="ru"/>
        </w:rPr>
        <w:t>1.2</w:t>
      </w:r>
      <w:r w:rsidRPr="00847C67">
        <w:rPr>
          <w:lang w:val="ru"/>
        </w:rPr>
        <w:tab/>
        <w:t>Назначение документа</w:t>
      </w:r>
      <w:bookmarkEnd w:id="6"/>
      <w:bookmarkEnd w:id="7"/>
      <w:bookmarkEnd w:id="8"/>
    </w:p>
    <w:p w14:paraId="72D49C93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Целью сертификата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качества ICAR является содействие организациям-членам ICAR в поддержании высокого качества услуг в тех сферах деятельности, по которым у ICAR имеются руководства или которые иным образом входят в сферу деятельности ICAR, а также в обеспечении постоянного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улучшения качества услуг.</w:t>
      </w:r>
    </w:p>
    <w:p w14:paraId="61879FD2" w14:textId="77777777" w:rsidR="001F0C50" w:rsidRPr="00682F0B" w:rsidRDefault="00F4609E" w:rsidP="005B3CFC">
      <w:pPr>
        <w:pStyle w:val="120"/>
        <w:rPr>
          <w:lang w:val="ru-RU"/>
        </w:rPr>
      </w:pPr>
      <w:bookmarkStart w:id="9" w:name="bookmark836"/>
      <w:bookmarkStart w:id="10" w:name="bookmark835"/>
      <w:bookmarkStart w:id="11" w:name="_Toc93222341"/>
      <w:r w:rsidRPr="00847C67">
        <w:rPr>
          <w:lang w:val="ru"/>
        </w:rPr>
        <w:t>1.3</w:t>
      </w:r>
      <w:r w:rsidRPr="00847C67">
        <w:rPr>
          <w:lang w:val="ru"/>
        </w:rPr>
        <w:tab/>
        <w:t>Преимущества</w:t>
      </w:r>
      <w:bookmarkEnd w:id="9"/>
      <w:bookmarkEnd w:id="10"/>
      <w:bookmarkEnd w:id="11"/>
    </w:p>
    <w:p w14:paraId="2B0B3533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числе преимуществ сертификата качества ICAR для организаций-членов можно отметить следующие:</w:t>
      </w:r>
    </w:p>
    <w:p w14:paraId="6804AD4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Уникальная маркировка, определяющая качество продуктов и услуг для клиентов, которое как минимум соответствует опуб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ликованным руководствам ICAR.</w:t>
      </w:r>
    </w:p>
    <w:p w14:paraId="167989F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Маркетинговый инструмент для организаций, который определит их соответствие международно признанным стандартам.</w:t>
      </w:r>
    </w:p>
    <w:p w14:paraId="4FAF8407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Ограниченный по времени период утверждения, который гарантирует клиентам соблюдение поставщиком услуг на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постоянной основе требований ICAR, тем самым обеспечивая более высокую степень уверенности в качестве полученной услуги или продукта.</w:t>
      </w:r>
    </w:p>
    <w:p w14:paraId="1B68E792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Знак подтвержденного лидерства ICAR на международном рынке за счет предоставления дополнительных услуг своим членам.</w:t>
      </w:r>
    </w:p>
    <w:p w14:paraId="22889C84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ookmark837"/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Консультативный обзор, проведенный независимыми экспертами.</w:t>
      </w:r>
      <w:bookmarkEnd w:id="12"/>
    </w:p>
    <w:p w14:paraId="6DE92A93" w14:textId="77777777" w:rsidR="001F0C50" w:rsidRPr="00682F0B" w:rsidRDefault="00F4609E" w:rsidP="005B3CFC">
      <w:pPr>
        <w:pStyle w:val="110"/>
        <w:rPr>
          <w:lang w:val="ru-RU"/>
        </w:rPr>
      </w:pPr>
      <w:bookmarkStart w:id="13" w:name="bookmark838"/>
      <w:bookmarkStart w:id="14" w:name="_Toc93222342"/>
      <w:r w:rsidRPr="00847C67">
        <w:rPr>
          <w:lang w:val="ru"/>
        </w:rPr>
        <w:t>2</w:t>
      </w:r>
      <w:r w:rsidRPr="00847C67">
        <w:rPr>
          <w:lang w:val="ru"/>
        </w:rPr>
        <w:tab/>
        <w:t>Определения и терминология</w:t>
      </w:r>
      <w:bookmarkEnd w:id="13"/>
      <w:bookmarkEnd w:id="14"/>
    </w:p>
    <w:p w14:paraId="25133334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Таблица 1 содержит список определений терминов и аббревиатур, используемых в настоящем руководстве.</w:t>
      </w:r>
    </w:p>
    <w:p w14:paraId="6CA017A5" w14:textId="77777777" w:rsidR="001F0C50" w:rsidRPr="00682F0B" w:rsidRDefault="00F4609E" w:rsidP="005B3CFC">
      <w:pPr>
        <w:pStyle w:val="1tab"/>
        <w:rPr>
          <w:lang w:val="ru-RU"/>
        </w:rPr>
      </w:pPr>
      <w:bookmarkStart w:id="15" w:name="bookmark839"/>
      <w:r w:rsidRPr="00847C67">
        <w:rPr>
          <w:lang w:val="ru"/>
        </w:rPr>
        <w:t>Таблица 1. Определения терминов и аббревиатур, используемых в наст</w:t>
      </w:r>
      <w:r w:rsidRPr="00847C67">
        <w:rPr>
          <w:lang w:val="ru"/>
        </w:rPr>
        <w:t>оящем руководстве.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6166"/>
      </w:tblGrid>
      <w:tr w:rsidR="00E42B3E" w14:paraId="72BAF7A6" w14:textId="77777777" w:rsidTr="005B3CFC">
        <w:trPr>
          <w:tblHeader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81944" w14:textId="77777777" w:rsidR="001F0C50" w:rsidRPr="005B3CFC" w:rsidRDefault="00F4609E" w:rsidP="005B3CFC">
            <w:pPr>
              <w:pStyle w:val="a4"/>
              <w:shd w:val="clear" w:color="auto" w:fill="auto"/>
              <w:spacing w:after="6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Термин</w:t>
            </w:r>
          </w:p>
        </w:tc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AE1727" w14:textId="77777777" w:rsidR="001F0C50" w:rsidRPr="005B3CFC" w:rsidRDefault="00F4609E" w:rsidP="005B3CFC">
            <w:pPr>
              <w:pStyle w:val="a4"/>
              <w:shd w:val="clear" w:color="auto" w:fill="auto"/>
              <w:spacing w:after="6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Определение</w:t>
            </w:r>
          </w:p>
        </w:tc>
      </w:tr>
      <w:tr w:rsidR="00E42B3E" w:rsidRPr="00682F0B" w14:paraId="5AB1A2B8" w14:textId="77777777" w:rsidTr="005B3CFC">
        <w:tc>
          <w:tcPr>
            <w:tcW w:w="2950" w:type="dxa"/>
            <w:tcBorders>
              <w:top w:val="single" w:sz="4" w:space="0" w:color="auto"/>
            </w:tcBorders>
            <w:shd w:val="clear" w:color="auto" w:fill="FFFFFF"/>
          </w:tcPr>
          <w:p w14:paraId="09BB9C43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Заявитель</w:t>
            </w:r>
          </w:p>
        </w:tc>
        <w:tc>
          <w:tcPr>
            <w:tcW w:w="6166" w:type="dxa"/>
            <w:tcBorders>
              <w:top w:val="single" w:sz="4" w:space="0" w:color="auto"/>
            </w:tcBorders>
            <w:shd w:val="clear" w:color="auto" w:fill="FFFFFF"/>
          </w:tcPr>
          <w:p w14:paraId="7D665AAD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Организация-член ICAR, которая запрашивает сертификацию услуг, доступных на рынке.</w:t>
            </w:r>
          </w:p>
        </w:tc>
      </w:tr>
      <w:tr w:rsidR="00E42B3E" w14:paraId="3539D8F1" w14:textId="77777777" w:rsidTr="009212D4">
        <w:tc>
          <w:tcPr>
            <w:tcW w:w="2950" w:type="dxa"/>
            <w:shd w:val="clear" w:color="auto" w:fill="FFFFFF"/>
          </w:tcPr>
          <w:p w14:paraId="6BBC610E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Аудит</w:t>
            </w:r>
          </w:p>
        </w:tc>
        <w:tc>
          <w:tcPr>
            <w:tcW w:w="6166" w:type="dxa"/>
            <w:shd w:val="clear" w:color="auto" w:fill="FFFFFF"/>
          </w:tcPr>
          <w:p w14:paraId="34E44BB9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Внешняя проверка деятельности заявителя.</w:t>
            </w:r>
          </w:p>
        </w:tc>
      </w:tr>
      <w:tr w:rsidR="00E42B3E" w:rsidRPr="00682F0B" w14:paraId="6BB8887D" w14:textId="77777777" w:rsidTr="009212D4">
        <w:tc>
          <w:tcPr>
            <w:tcW w:w="2950" w:type="dxa"/>
            <w:shd w:val="clear" w:color="auto" w:fill="FFFFFF"/>
          </w:tcPr>
          <w:p w14:paraId="07445C23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Аудитор</w:t>
            </w:r>
          </w:p>
        </w:tc>
        <w:tc>
          <w:tcPr>
            <w:tcW w:w="6166" w:type="dxa"/>
            <w:shd w:val="clear" w:color="auto" w:fill="FFFFFF"/>
          </w:tcPr>
          <w:p w14:paraId="648F623C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Внешний специалист, который осуществляет провеку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деятельности заявителя.</w:t>
            </w:r>
          </w:p>
        </w:tc>
      </w:tr>
      <w:tr w:rsidR="00E42B3E" w14:paraId="44D63980" w14:textId="77777777" w:rsidTr="009212D4">
        <w:tc>
          <w:tcPr>
            <w:tcW w:w="2950" w:type="dxa"/>
            <w:shd w:val="clear" w:color="auto" w:fill="FFFFFF"/>
          </w:tcPr>
          <w:p w14:paraId="21590472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ГД</w:t>
            </w:r>
          </w:p>
        </w:tc>
        <w:tc>
          <w:tcPr>
            <w:tcW w:w="6166" w:type="dxa"/>
            <w:shd w:val="clear" w:color="auto" w:fill="FFFFFF"/>
          </w:tcPr>
          <w:p w14:paraId="6F0C4594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Генеральный директор ICAR</w:t>
            </w:r>
          </w:p>
        </w:tc>
      </w:tr>
      <w:tr w:rsidR="00E42B3E" w14:paraId="01C02B6D" w14:textId="77777777" w:rsidTr="009212D4">
        <w:tc>
          <w:tcPr>
            <w:tcW w:w="2950" w:type="dxa"/>
            <w:shd w:val="clear" w:color="auto" w:fill="FFFFFF"/>
          </w:tcPr>
          <w:p w14:paraId="6968AB5B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</w:t>
            </w:r>
          </w:p>
        </w:tc>
        <w:tc>
          <w:tcPr>
            <w:tcW w:w="6166" w:type="dxa"/>
            <w:shd w:val="clear" w:color="auto" w:fill="FFFFFF"/>
          </w:tcPr>
          <w:p w14:paraId="6F82A350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Сертификат качества ICAR.</w:t>
            </w:r>
          </w:p>
        </w:tc>
      </w:tr>
      <w:tr w:rsidR="00E42B3E" w:rsidRPr="00682F0B" w14:paraId="34E8E9E5" w14:textId="77777777" w:rsidTr="009212D4">
        <w:tc>
          <w:tcPr>
            <w:tcW w:w="2950" w:type="dxa"/>
            <w:shd w:val="clear" w:color="auto" w:fill="FFFFFF"/>
          </w:tcPr>
          <w:p w14:paraId="444EB5B6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Консультативный обзор (КО)</w:t>
            </w:r>
          </w:p>
        </w:tc>
        <w:tc>
          <w:tcPr>
            <w:tcW w:w="6166" w:type="dxa"/>
            <w:shd w:val="clear" w:color="auto" w:fill="FFFFFF"/>
          </w:tcPr>
          <w:p w14:paraId="1A9DDB0B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Обзор в форме официального документа, выполненный через 30 месяцев после сертификации.</w:t>
            </w:r>
          </w:p>
        </w:tc>
      </w:tr>
      <w:tr w:rsidR="00E42B3E" w:rsidRPr="00682F0B" w14:paraId="5ABD41D1" w14:textId="77777777" w:rsidTr="009212D4">
        <w:tc>
          <w:tcPr>
            <w:tcW w:w="2950" w:type="dxa"/>
            <w:shd w:val="clear" w:color="auto" w:fill="FFFFFF"/>
          </w:tcPr>
          <w:p w14:paraId="6661D92B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Экспертно-консультативная группа</w:t>
            </w:r>
          </w:p>
        </w:tc>
        <w:tc>
          <w:tcPr>
            <w:tcW w:w="6166" w:type="dxa"/>
            <w:shd w:val="clear" w:color="auto" w:fill="FFFFFF"/>
          </w:tcPr>
          <w:p w14:paraId="52D544CD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Группа, которая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разрабатывает и контролирует программу сертификации качества</w:t>
            </w:r>
          </w:p>
        </w:tc>
      </w:tr>
      <w:tr w:rsidR="00E42B3E" w14:paraId="68DB4EFF" w14:textId="77777777" w:rsidTr="009212D4">
        <w:tc>
          <w:tcPr>
            <w:tcW w:w="2950" w:type="dxa"/>
            <w:shd w:val="clear" w:color="auto" w:fill="FFFFFF"/>
          </w:tcPr>
          <w:p w14:paraId="2992C47F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(ЭКГ)</w:t>
            </w:r>
          </w:p>
        </w:tc>
        <w:tc>
          <w:tcPr>
            <w:tcW w:w="6166" w:type="dxa"/>
            <w:shd w:val="clear" w:color="auto" w:fill="FFFFFF"/>
          </w:tcPr>
          <w:p w14:paraId="7E89003E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42B3E" w:rsidRPr="00682F0B" w14:paraId="4022DCCA" w14:textId="77777777" w:rsidTr="009212D4">
        <w:tc>
          <w:tcPr>
            <w:tcW w:w="2950" w:type="dxa"/>
            <w:shd w:val="clear" w:color="auto" w:fill="FFFFFF"/>
          </w:tcPr>
          <w:p w14:paraId="40726BDF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Сфера деятельности (СД)</w:t>
            </w:r>
          </w:p>
        </w:tc>
        <w:tc>
          <w:tcPr>
            <w:tcW w:w="6166" w:type="dxa"/>
            <w:shd w:val="clear" w:color="auto" w:fill="FFFFFF"/>
          </w:tcPr>
          <w:p w14:paraId="00A11EAF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Сфера деятельности, в отношении которой доступна сертификация ICAR.</w:t>
            </w:r>
          </w:p>
        </w:tc>
      </w:tr>
      <w:tr w:rsidR="00E42B3E" w:rsidRPr="00682F0B" w14:paraId="09ED096E" w14:textId="77777777" w:rsidTr="009212D4">
        <w:tc>
          <w:tcPr>
            <w:tcW w:w="2950" w:type="dxa"/>
            <w:shd w:val="clear" w:color="auto" w:fill="FFFFFF"/>
          </w:tcPr>
          <w:p w14:paraId="147D1A96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Ключевые показатели эффективности</w:t>
            </w:r>
          </w:p>
        </w:tc>
        <w:tc>
          <w:tcPr>
            <w:tcW w:w="6166" w:type="dxa"/>
            <w:shd w:val="clear" w:color="auto" w:fill="FFFFFF"/>
          </w:tcPr>
          <w:p w14:paraId="1E71AC55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Измеримая величина, которая демонстрирует, насколько эффек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тивно</w:t>
            </w:r>
          </w:p>
        </w:tc>
      </w:tr>
      <w:tr w:rsidR="00E42B3E" w:rsidRPr="00682F0B" w14:paraId="331F800D" w14:textId="77777777" w:rsidTr="005B3CFC">
        <w:tc>
          <w:tcPr>
            <w:tcW w:w="2950" w:type="dxa"/>
            <w:shd w:val="clear" w:color="auto" w:fill="FFFFFF"/>
          </w:tcPr>
          <w:p w14:paraId="658F7E8D" w14:textId="77777777" w:rsidR="001F0C50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(КПЭ)</w:t>
            </w:r>
          </w:p>
        </w:tc>
        <w:tc>
          <w:tcPr>
            <w:tcW w:w="6166" w:type="dxa"/>
            <w:shd w:val="clear" w:color="auto" w:fill="FFFFFF"/>
          </w:tcPr>
          <w:p w14:paraId="4CF6CCE6" w14:textId="77777777" w:rsidR="001F0C50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организация достигает ключевых целей в сфере качества услуг.</w:t>
            </w:r>
          </w:p>
        </w:tc>
      </w:tr>
      <w:tr w:rsidR="00E42B3E" w:rsidRPr="00682F0B" w14:paraId="7EBA490F" w14:textId="77777777" w:rsidTr="005B3CFC">
        <w:tc>
          <w:tcPr>
            <w:tcW w:w="2950" w:type="dxa"/>
            <w:tcBorders>
              <w:bottom w:val="single" w:sz="4" w:space="0" w:color="auto"/>
            </w:tcBorders>
            <w:shd w:val="clear" w:color="auto" w:fill="FFFFFF"/>
          </w:tcPr>
          <w:p w14:paraId="5A804D29" w14:textId="77777777" w:rsidR="005B3CFC" w:rsidRPr="005B3CFC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Стандартные операционные процедуры (СОП)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shd w:val="clear" w:color="auto" w:fill="FFFFFF"/>
          </w:tcPr>
          <w:p w14:paraId="071D00F4" w14:textId="77777777" w:rsidR="005B3CFC" w:rsidRPr="00682F0B" w:rsidRDefault="00F4609E" w:rsidP="005B3CFC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Набор пошаговых инструкций, составленных организацией с целью помочь работникам и клиентам выполнять сложные рутинные операции.</w:t>
            </w:r>
          </w:p>
        </w:tc>
      </w:tr>
    </w:tbl>
    <w:p w14:paraId="4B91BC09" w14:textId="77777777" w:rsidR="001F0C50" w:rsidRPr="00682F0B" w:rsidRDefault="001F0C50" w:rsidP="00B05E6A">
      <w:pPr>
        <w:spacing w:after="120"/>
        <w:jc w:val="both"/>
        <w:rPr>
          <w:lang w:val="ru-RU"/>
        </w:rPr>
      </w:pPr>
    </w:p>
    <w:p w14:paraId="30E77B37" w14:textId="77777777" w:rsidR="001F0C50" w:rsidRPr="00682F0B" w:rsidRDefault="00F4609E" w:rsidP="005B3CFC">
      <w:pPr>
        <w:pStyle w:val="110"/>
        <w:spacing w:before="120"/>
        <w:rPr>
          <w:lang w:val="ru-RU"/>
        </w:rPr>
      </w:pPr>
      <w:bookmarkStart w:id="16" w:name="bookmark841"/>
      <w:bookmarkStart w:id="17" w:name="bookmark840"/>
      <w:bookmarkStart w:id="18" w:name="_Toc93222343"/>
      <w:r w:rsidRPr="00847C67">
        <w:rPr>
          <w:lang w:val="ru"/>
        </w:rPr>
        <w:t>3</w:t>
      </w:r>
      <w:r w:rsidRPr="00847C67">
        <w:rPr>
          <w:lang w:val="ru"/>
        </w:rPr>
        <w:tab/>
      </w:r>
      <w:r w:rsidRPr="00847C67">
        <w:rPr>
          <w:lang w:val="ru"/>
        </w:rPr>
        <w:t>Область применения</w:t>
      </w:r>
      <w:bookmarkEnd w:id="16"/>
      <w:bookmarkEnd w:id="17"/>
      <w:bookmarkEnd w:id="18"/>
    </w:p>
    <w:p w14:paraId="3B6EAD92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 Рисунке 1 представлена наглядная схема основных элементов настоящего руководства.</w:t>
      </w:r>
    </w:p>
    <w:p w14:paraId="2005838C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Таким образом, Раздел 8 Руководства ICAR охватывает процедуры от подачи заявки членом до выдачи ICAR Сертификата качества.</w:t>
      </w:r>
    </w:p>
    <w:p w14:paraId="0E944C9B" w14:textId="77777777" w:rsidR="001F0C50" w:rsidRPr="00847C67" w:rsidRDefault="00F4609E" w:rsidP="005B3CFC">
      <w:pPr>
        <w:pStyle w:val="1fig"/>
      </w:pPr>
      <w:bookmarkStart w:id="19" w:name="bookmark842"/>
      <w:r w:rsidRPr="00847C67">
        <w:rPr>
          <w:lang w:val="ru"/>
        </w:rPr>
        <w:t xml:space="preserve">Рисунок 1. Сфера </w:t>
      </w:r>
      <w:r w:rsidRPr="00847C67">
        <w:rPr>
          <w:lang w:val="ru"/>
        </w:rPr>
        <w:t>применения настоящего Руководства</w:t>
      </w:r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"/>
        <w:gridCol w:w="3941"/>
        <w:gridCol w:w="3583"/>
        <w:gridCol w:w="696"/>
        <w:gridCol w:w="180"/>
        <w:gridCol w:w="444"/>
      </w:tblGrid>
      <w:tr w:rsidR="00E42B3E" w14:paraId="2F74E685" w14:textId="77777777" w:rsidTr="009212D4">
        <w:tc>
          <w:tcPr>
            <w:tcW w:w="96" w:type="dxa"/>
            <w:shd w:val="clear" w:color="auto" w:fill="FFFFFF"/>
          </w:tcPr>
          <w:p w14:paraId="6A4B995E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7524" w:type="dxa"/>
            <w:gridSpan w:val="2"/>
            <w:shd w:val="clear" w:color="auto" w:fill="FFFFFF"/>
          </w:tcPr>
          <w:p w14:paraId="71479ACA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Запрос на получение сертификата</w:t>
            </w:r>
          </w:p>
        </w:tc>
        <w:tc>
          <w:tcPr>
            <w:tcW w:w="696" w:type="dxa"/>
            <w:vMerge w:val="restart"/>
            <w:shd w:val="clear" w:color="auto" w:fill="FFFFFF"/>
          </w:tcPr>
          <w:p w14:paraId="630A29F2" w14:textId="77777777" w:rsidR="001F0C50" w:rsidRPr="005B3CFC" w:rsidRDefault="00F4609E" w:rsidP="005B3CFC">
            <w:pPr>
              <w:keepNext/>
              <w:keepLines/>
            </w:pPr>
            <w:r w:rsidRPr="005B3CFC">
              <w:rPr>
                <w:noProof/>
                <w:lang w:val="ru-RU" w:eastAsia="ru-RU" w:bidi="he-IL"/>
              </w:rPr>
              <w:drawing>
                <wp:inline distT="0" distB="0" distL="0" distR="0" wp14:anchorId="1BD02149" wp14:editId="1A99A319">
                  <wp:extent cx="441960" cy="3194050"/>
                  <wp:effectExtent l="0" t="0" r="0" b="0"/>
                  <wp:docPr id="138" name="Picut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04080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shd w:val="clear" w:color="auto" w:fill="FFFFFF"/>
          </w:tcPr>
          <w:p w14:paraId="17F81EC7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444" w:type="dxa"/>
            <w:vMerge w:val="restart"/>
            <w:shd w:val="clear" w:color="auto" w:fill="FFFFFF"/>
            <w:textDirection w:val="tbRl"/>
            <w:vAlign w:val="bottom"/>
          </w:tcPr>
          <w:p w14:paraId="24C1876B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/>
              </w:rPr>
              <w:t>Экспертно-консультативная группа</w:t>
            </w:r>
          </w:p>
        </w:tc>
      </w:tr>
      <w:tr w:rsidR="00E42B3E" w14:paraId="2F281031" w14:textId="77777777" w:rsidTr="009212D4">
        <w:tc>
          <w:tcPr>
            <w:tcW w:w="96" w:type="dxa"/>
            <w:shd w:val="clear" w:color="auto" w:fill="FFFFFF"/>
          </w:tcPr>
          <w:p w14:paraId="32BC3D35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7524" w:type="dxa"/>
            <w:gridSpan w:val="2"/>
            <w:shd w:val="clear" w:color="auto" w:fill="FFFFFF"/>
          </w:tcPr>
          <w:p w14:paraId="7A84D944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696" w:type="dxa"/>
            <w:vMerge/>
            <w:shd w:val="clear" w:color="auto" w:fill="FFFFFF"/>
          </w:tcPr>
          <w:p w14:paraId="558FFCB0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180" w:type="dxa"/>
            <w:vMerge/>
            <w:shd w:val="clear" w:color="auto" w:fill="FFFFFF"/>
          </w:tcPr>
          <w:p w14:paraId="0FDDD6DD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444" w:type="dxa"/>
            <w:vMerge/>
            <w:shd w:val="clear" w:color="auto" w:fill="FFFFFF"/>
            <w:textDirection w:val="tbRl"/>
            <w:vAlign w:val="bottom"/>
          </w:tcPr>
          <w:p w14:paraId="4C88977A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</w:tr>
      <w:tr w:rsidR="00E42B3E" w14:paraId="71DC8C43" w14:textId="77777777" w:rsidTr="009212D4">
        <w:tc>
          <w:tcPr>
            <w:tcW w:w="96" w:type="dxa"/>
            <w:shd w:val="clear" w:color="auto" w:fill="FFFFFF"/>
          </w:tcPr>
          <w:p w14:paraId="2F01FEB8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7524" w:type="dxa"/>
            <w:gridSpan w:val="2"/>
            <w:shd w:val="clear" w:color="auto" w:fill="FFFFFF"/>
          </w:tcPr>
          <w:p w14:paraId="7A95A74A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696" w:type="dxa"/>
            <w:vMerge/>
            <w:shd w:val="clear" w:color="auto" w:fill="FFFFFF"/>
          </w:tcPr>
          <w:p w14:paraId="5A3FC8E7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180" w:type="dxa"/>
            <w:vMerge/>
            <w:shd w:val="clear" w:color="auto" w:fill="FFFFFF"/>
          </w:tcPr>
          <w:p w14:paraId="5C0B2C0B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444" w:type="dxa"/>
            <w:vMerge/>
            <w:shd w:val="clear" w:color="auto" w:fill="FFFFFF"/>
            <w:textDirection w:val="tbRl"/>
            <w:vAlign w:val="bottom"/>
          </w:tcPr>
          <w:p w14:paraId="33A591F1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</w:tr>
      <w:tr w:rsidR="00E42B3E" w14:paraId="0DB9C1BF" w14:textId="77777777" w:rsidTr="009212D4">
        <w:tc>
          <w:tcPr>
            <w:tcW w:w="96" w:type="dxa"/>
            <w:shd w:val="clear" w:color="auto" w:fill="FFFFFF"/>
          </w:tcPr>
          <w:p w14:paraId="34FDCBA5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3941" w:type="dxa"/>
            <w:shd w:val="clear" w:color="auto" w:fill="FFFFFF"/>
          </w:tcPr>
          <w:p w14:paraId="077A429A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/>
              </w:rPr>
              <w:t>Аудит</w:t>
            </w:r>
          </w:p>
          <w:p w14:paraId="7859B042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Напоминание</w:t>
            </w:r>
          </w:p>
          <w:p w14:paraId="23CBDB86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Заявка и предоплата</w:t>
            </w:r>
          </w:p>
          <w:p w14:paraId="5EB16DC8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График</w:t>
            </w:r>
          </w:p>
          <w:p w14:paraId="57CD8425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Внутренний аудит</w:t>
            </w:r>
          </w:p>
          <w:p w14:paraId="02536E44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 xml:space="preserve">Получение разъяснений </w:t>
            </w:r>
          </w:p>
          <w:p w14:paraId="55B9CC9E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Визит</w:t>
            </w:r>
          </w:p>
          <w:p w14:paraId="53EB9FCB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Окончательный расчет</w:t>
            </w:r>
          </w:p>
          <w:p w14:paraId="115E09CA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Оценка</w:t>
            </w:r>
          </w:p>
          <w:p w14:paraId="5FAA3218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Вознаграждение аудитора</w:t>
            </w:r>
          </w:p>
          <w:p w14:paraId="1F50A6E6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Утверждение ГД ICAR</w:t>
            </w:r>
          </w:p>
          <w:p w14:paraId="741F99C5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Вручение сертификата</w:t>
            </w:r>
          </w:p>
          <w:p w14:paraId="7B5B210F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Оценочная анкета</w:t>
            </w:r>
          </w:p>
        </w:tc>
        <w:tc>
          <w:tcPr>
            <w:tcW w:w="3583" w:type="dxa"/>
            <w:shd w:val="clear" w:color="auto" w:fill="FFFFFF"/>
          </w:tcPr>
          <w:p w14:paraId="72103E72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/>
              </w:rPr>
              <w:t>Консультативный обзор</w:t>
            </w:r>
          </w:p>
          <w:p w14:paraId="7438A14F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Напоминание</w:t>
            </w:r>
          </w:p>
          <w:p w14:paraId="3B914451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Заявка и предоплата</w:t>
            </w:r>
          </w:p>
          <w:p w14:paraId="4EF6B190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График</w:t>
            </w:r>
          </w:p>
          <w:p w14:paraId="6906CEDB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Внутренний аудит</w:t>
            </w:r>
          </w:p>
          <w:p w14:paraId="453A96D4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 xml:space="preserve">Получение разъяснений </w:t>
            </w:r>
          </w:p>
          <w:p w14:paraId="73B912BD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Окончательный расчет</w:t>
            </w:r>
          </w:p>
          <w:p w14:paraId="1E10C0B1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Оценка</w:t>
            </w:r>
          </w:p>
          <w:p w14:paraId="03BD0CAA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Вознаграждение аудитора</w:t>
            </w:r>
          </w:p>
          <w:p w14:paraId="069B7861" w14:textId="77777777" w:rsidR="001F0C50" w:rsidRPr="00682F0B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Утверждение ГД ICAR</w:t>
            </w:r>
          </w:p>
          <w:p w14:paraId="1565D192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Письмо-подтверждение</w:t>
            </w:r>
          </w:p>
          <w:p w14:paraId="7E258795" w14:textId="77777777" w:rsidR="001F0C50" w:rsidRPr="005B3CFC" w:rsidRDefault="00F4609E" w:rsidP="005B3CFC">
            <w:pPr>
              <w:pStyle w:val="a4"/>
              <w:keepNext/>
              <w:keepLines/>
              <w:shd w:val="clear" w:color="auto" w:fill="auto"/>
              <w:spacing w:before="20" w:after="20" w:line="240" w:lineRule="auto"/>
              <w:ind w:left="341" w:right="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•</w:t>
            </w:r>
            <w:r w:rsidRPr="005B3CF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ab/>
              <w:t>Оценочная анкета</w:t>
            </w:r>
          </w:p>
        </w:tc>
        <w:tc>
          <w:tcPr>
            <w:tcW w:w="696" w:type="dxa"/>
            <w:vMerge/>
            <w:shd w:val="clear" w:color="auto" w:fill="FFFFFF"/>
          </w:tcPr>
          <w:p w14:paraId="00CF4C27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180" w:type="dxa"/>
            <w:vMerge/>
            <w:shd w:val="clear" w:color="auto" w:fill="FFFFFF"/>
          </w:tcPr>
          <w:p w14:paraId="2BA932BC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  <w:tc>
          <w:tcPr>
            <w:tcW w:w="444" w:type="dxa"/>
            <w:vMerge/>
            <w:shd w:val="clear" w:color="auto" w:fill="FFFFFF"/>
            <w:textDirection w:val="tbRl"/>
            <w:vAlign w:val="bottom"/>
          </w:tcPr>
          <w:p w14:paraId="150C237A" w14:textId="77777777" w:rsidR="001F0C50" w:rsidRPr="005B3CFC" w:rsidRDefault="001F0C50" w:rsidP="005B3CFC">
            <w:pPr>
              <w:keepNext/>
              <w:keepLines/>
              <w:spacing w:before="20" w:after="20"/>
              <w:ind w:left="57" w:right="57"/>
            </w:pPr>
          </w:p>
        </w:tc>
      </w:tr>
    </w:tbl>
    <w:p w14:paraId="2A4A83FB" w14:textId="77777777" w:rsidR="001F0C50" w:rsidRPr="00847C67" w:rsidRDefault="001F0C50" w:rsidP="00B05E6A">
      <w:pPr>
        <w:spacing w:after="120"/>
        <w:jc w:val="both"/>
      </w:pPr>
    </w:p>
    <w:p w14:paraId="07B6103D" w14:textId="77777777" w:rsidR="001F0C50" w:rsidRPr="00847C67" w:rsidRDefault="00F4609E" w:rsidP="005B3CFC">
      <w:pPr>
        <w:pStyle w:val="110"/>
      </w:pPr>
      <w:bookmarkStart w:id="20" w:name="bookmark844"/>
      <w:bookmarkStart w:id="21" w:name="bookmark843"/>
      <w:bookmarkStart w:id="22" w:name="_Toc93222344"/>
      <w:r w:rsidRPr="00847C67">
        <w:rPr>
          <w:lang w:val="ru"/>
        </w:rPr>
        <w:t>4</w:t>
      </w:r>
      <w:r w:rsidRPr="00847C67">
        <w:rPr>
          <w:lang w:val="ru"/>
        </w:rPr>
        <w:tab/>
        <w:t>Экспертно-консультативная группа</w:t>
      </w:r>
      <w:bookmarkEnd w:id="20"/>
      <w:bookmarkEnd w:id="21"/>
      <w:bookmarkEnd w:id="22"/>
    </w:p>
    <w:p w14:paraId="6E999A09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Генеральный директор ICAR (ГД) назначает председателя и членов Экспертно-консультативной группы по сертификации качества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ICAR. Задачи ЭКГ СК заключаются в предоставлении консультаций и рекомендаций генеральному директору ICAR по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следующим вопросам:</w:t>
      </w:r>
    </w:p>
    <w:p w14:paraId="15B7315D" w14:textId="77777777" w:rsidR="001F0C50" w:rsidRPr="00682F0B" w:rsidRDefault="00F4609E" w:rsidP="005B3CFC">
      <w:pPr>
        <w:pStyle w:val="120"/>
        <w:rPr>
          <w:lang w:val="ru-RU"/>
        </w:rPr>
      </w:pPr>
      <w:bookmarkStart w:id="23" w:name="bookmark846"/>
      <w:bookmarkStart w:id="24" w:name="bookmark845"/>
      <w:bookmarkStart w:id="25" w:name="_Toc93222345"/>
      <w:r w:rsidRPr="00847C67">
        <w:rPr>
          <w:lang w:val="ru"/>
        </w:rPr>
        <w:t>4.1</w:t>
      </w:r>
      <w:r w:rsidRPr="00847C67">
        <w:rPr>
          <w:lang w:val="ru"/>
        </w:rPr>
        <w:tab/>
        <w:t>Содержание программы СК</w:t>
      </w:r>
      <w:bookmarkEnd w:id="23"/>
      <w:bookmarkEnd w:id="24"/>
      <w:bookmarkEnd w:id="25"/>
    </w:p>
    <w:p w14:paraId="2FED6FD0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Сферы деятельности (FOA), подлежащие аудиту</w:t>
      </w:r>
    </w:p>
    <w:p w14:paraId="42E74CCA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Содержание и актуальность анкет</w:t>
      </w:r>
    </w:p>
    <w:p w14:paraId="3E79AD23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Вопросы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критерии</w:t>
      </w:r>
    </w:p>
    <w:p w14:paraId="5CF3E3B1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Ключевые показатели эффективности (КПЭ) для каждой СД</w:t>
      </w:r>
    </w:p>
    <w:p w14:paraId="1372DE30" w14:textId="77777777" w:rsidR="00817293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Методы оценки для каждой СД</w:t>
      </w:r>
    </w:p>
    <w:p w14:paraId="38C28598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Правила программы СК</w:t>
      </w:r>
    </w:p>
    <w:p w14:paraId="198BEDDD" w14:textId="77777777" w:rsidR="001F0C50" w:rsidRPr="00682F0B" w:rsidRDefault="00F4609E" w:rsidP="005B3CFC">
      <w:pPr>
        <w:pStyle w:val="120"/>
        <w:rPr>
          <w:lang w:val="ru-RU"/>
        </w:rPr>
      </w:pPr>
      <w:bookmarkStart w:id="26" w:name="bookmark848"/>
      <w:bookmarkStart w:id="27" w:name="bookmark847"/>
      <w:bookmarkStart w:id="28" w:name="_Toc93222346"/>
      <w:r w:rsidRPr="00847C67">
        <w:rPr>
          <w:lang w:val="ru"/>
        </w:rPr>
        <w:t>4.2</w:t>
      </w:r>
      <w:r w:rsidRPr="00847C67">
        <w:rPr>
          <w:lang w:val="ru"/>
        </w:rPr>
        <w:tab/>
        <w:t>Управление программой СК</w:t>
      </w:r>
      <w:bookmarkEnd w:id="26"/>
      <w:bookmarkEnd w:id="27"/>
      <w:bookmarkEnd w:id="28"/>
    </w:p>
    <w:p w14:paraId="2831025D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План управление качеством программы СК</w:t>
      </w:r>
    </w:p>
    <w:p w14:paraId="7B3483C5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Подбор, оценка и обучение аудиторов</w:t>
      </w:r>
    </w:p>
    <w:p w14:paraId="28B0228A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Назначение аудиторов 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 мероприятия</w:t>
      </w:r>
    </w:p>
    <w:p w14:paraId="0829D949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Анкеты после аудитов/обзоров и другие соответствующие анкеты</w:t>
      </w:r>
    </w:p>
    <w:p w14:paraId="48816E21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Право собственности на соответствующие СОП и Раздел 8 Руководства</w:t>
      </w:r>
    </w:p>
    <w:p w14:paraId="286AD310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Внесение необходимого вклада в другие разделы Руководства и Руководства в целом.</w:t>
      </w:r>
    </w:p>
    <w:p w14:paraId="252FD5F2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g.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Поддержание связи с пр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едседателями РГ и КС в соответствующих случаях.</w:t>
      </w:r>
    </w:p>
    <w:p w14:paraId="372F632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h.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Поддержание связи с Секретариатом ICAR и обеспечение обновления форм на веб-сайте в соответствующих случаях.</w:t>
      </w:r>
    </w:p>
    <w:p w14:paraId="2FFCB36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Экспертно-консультативная группа взаимодействует с Правлением ICAR:</w:t>
      </w:r>
    </w:p>
    <w:p w14:paraId="0C7A57A6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Годовой отчет Председател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ЭКГ СК для генерального директора, который будет отчитываться перед Правлением ICAR.</w:t>
      </w:r>
    </w:p>
    <w:p w14:paraId="4C8132C0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Председатель ЭКГ СК принимает участие в заседаниях председателей групп с Правлением ICAR.</w:t>
      </w:r>
    </w:p>
    <w:p w14:paraId="1384D97A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Специалист службы поддержки ICAR, время от времени назначаемый Генеральны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 директором ICAR. Копии всей переписки с ЭКГ направляются этому лицу.</w:t>
      </w:r>
    </w:p>
    <w:p w14:paraId="6A97DC1C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Участие Председателя во встречах с Генеральным директором не реже одного раза в год.</w:t>
      </w:r>
    </w:p>
    <w:p w14:paraId="5EE40040" w14:textId="77777777" w:rsidR="001F0C50" w:rsidRPr="00682F0B" w:rsidRDefault="00F4609E" w:rsidP="005B3CFC">
      <w:pPr>
        <w:pStyle w:val="120"/>
        <w:rPr>
          <w:lang w:val="ru-RU"/>
        </w:rPr>
      </w:pPr>
      <w:bookmarkStart w:id="29" w:name="bookmark850"/>
      <w:bookmarkStart w:id="30" w:name="bookmark849"/>
      <w:bookmarkStart w:id="31" w:name="_Toc93222347"/>
      <w:r w:rsidRPr="00847C67">
        <w:rPr>
          <w:lang w:val="ru"/>
        </w:rPr>
        <w:t>4.3</w:t>
      </w:r>
      <w:r w:rsidRPr="00847C67">
        <w:rPr>
          <w:lang w:val="ru"/>
        </w:rPr>
        <w:tab/>
        <w:t>Анкеты и основания для оценки</w:t>
      </w:r>
      <w:bookmarkEnd w:id="29"/>
      <w:bookmarkEnd w:id="30"/>
      <w:bookmarkEnd w:id="31"/>
    </w:p>
    <w:p w14:paraId="6BEA8E89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bookmark851"/>
      <w:r w:rsidRPr="00847C67">
        <w:rPr>
          <w:rFonts w:ascii="Times New Roman" w:hAnsi="Times New Roman" w:cs="Times New Roman"/>
          <w:sz w:val="24"/>
          <w:szCs w:val="24"/>
          <w:lang w:val="ru"/>
        </w:rPr>
        <w:t>Анкеты аудита и консультативного обзора разрабатываются и обнов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ляются Экспертно-консультативной группой по сертификации качества. Группа также отвечает за разработку ключевых показателей эффективности для каждой сферы деятельности и за унификацию оснований для оценки.</w:t>
      </w:r>
      <w:bookmarkEnd w:id="32"/>
    </w:p>
    <w:p w14:paraId="206AFE34" w14:textId="77777777" w:rsidR="001F0C50" w:rsidRPr="00682F0B" w:rsidRDefault="00F4609E" w:rsidP="005B3CFC">
      <w:pPr>
        <w:pStyle w:val="110"/>
        <w:rPr>
          <w:lang w:val="ru-RU"/>
        </w:rPr>
      </w:pPr>
      <w:bookmarkStart w:id="33" w:name="bookmark852"/>
      <w:bookmarkStart w:id="34" w:name="_Toc93222348"/>
      <w:r w:rsidRPr="00847C67">
        <w:rPr>
          <w:lang w:val="ru"/>
        </w:rPr>
        <w:lastRenderedPageBreak/>
        <w:t>5</w:t>
      </w:r>
      <w:r w:rsidRPr="00847C67">
        <w:rPr>
          <w:lang w:val="ru"/>
        </w:rPr>
        <w:tab/>
        <w:t>Сферы деятельности, доступные для сертификации</w:t>
      </w:r>
      <w:bookmarkEnd w:id="33"/>
      <w:bookmarkEnd w:id="34"/>
    </w:p>
    <w:p w14:paraId="43A6E20A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феры деятельности, доступные для сертификации, определяются ЭКГ и обновляются в настоящем Руководстве по мере внесения изменений.</w:t>
      </w:r>
    </w:p>
    <w:p w14:paraId="743A689B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Сертификация возможна (как минимум) для следующих сфер деятельности:</w:t>
      </w:r>
    </w:p>
    <w:p w14:paraId="7FCBED61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Идентификация животных (крупный рогатый скот)</w:t>
      </w:r>
    </w:p>
    <w:p w14:paraId="4D5E91CE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2.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Идентификация животных (другие виды)</w:t>
      </w:r>
    </w:p>
    <w:p w14:paraId="400C7782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3.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Учет молочной продуктивности (крупный рогатый скот)</w:t>
      </w:r>
    </w:p>
    <w:p w14:paraId="395190BE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4.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Учет мясной продуктивности (крупный рогатый скот)</w:t>
      </w:r>
    </w:p>
    <w:p w14:paraId="092A8CB0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5.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Учет молочной продуктивности (другие виды)</w:t>
      </w:r>
    </w:p>
    <w:p w14:paraId="4063F03D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6.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Учет мясной продуктивности (другие виды)</w:t>
      </w:r>
    </w:p>
    <w:p w14:paraId="550425C2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7.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Производственный 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чет (другие признаки)</w:t>
      </w:r>
    </w:p>
    <w:p w14:paraId="1B2955E6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8.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Ведение племенной книги</w:t>
      </w:r>
    </w:p>
    <w:p w14:paraId="1BD12AE7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9.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Учет экстерьера животных</w:t>
      </w:r>
    </w:p>
    <w:p w14:paraId="4267AB4C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10.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Обработка данных</w:t>
      </w:r>
    </w:p>
    <w:p w14:paraId="1E23521C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11.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Лабораторный анализ (молоко)</w:t>
      </w:r>
    </w:p>
    <w:p w14:paraId="4C11CB4C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12.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Референс-лаборатория (молоко)</w:t>
      </w:r>
    </w:p>
    <w:p w14:paraId="61B0F541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13.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Лабораторный анализ (ДНК)</w:t>
      </w:r>
    </w:p>
    <w:p w14:paraId="5CBDA5DD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14.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Генетическая оценка (молочный скот)</w:t>
      </w:r>
    </w:p>
    <w:p w14:paraId="7290F4A9" w14:textId="77777777" w:rsidR="001F0C50" w:rsidRPr="00682F0B" w:rsidRDefault="00F4609E" w:rsidP="005B3CFC">
      <w:pPr>
        <w:pStyle w:val="13"/>
        <w:shd w:val="clear" w:color="auto" w:fill="auto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15.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Генетическая оценка (мясной скот)</w:t>
      </w:r>
    </w:p>
    <w:p w14:paraId="3E06EE62" w14:textId="77777777" w:rsidR="00817293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16.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Генетическая оценка (другие виды)</w:t>
      </w:r>
    </w:p>
    <w:p w14:paraId="2AF3EA2A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Эти сферы деятельности применимы к крупному рогатому скоту и другим соответствующим сельскохозяйственным животным, таким как буйволы, козы, овцы и верблюдовые.</w:t>
      </w:r>
    </w:p>
    <w:p w14:paraId="6A6B0873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ookmark853"/>
      <w:r w:rsidRPr="00847C67">
        <w:rPr>
          <w:rFonts w:ascii="Times New Roman" w:hAnsi="Times New Roman" w:cs="Times New Roman"/>
          <w:sz w:val="24"/>
          <w:szCs w:val="24"/>
          <w:lang w:val="ru"/>
        </w:rPr>
        <w:t>Если член или организаци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намеревается запросить Сертификат качества ICAR для деятельности, не указанной выше, им следует подать заявку в Секретариат ICAR.</w:t>
      </w:r>
      <w:bookmarkEnd w:id="35"/>
    </w:p>
    <w:p w14:paraId="273010A6" w14:textId="77777777" w:rsidR="001F0C50" w:rsidRPr="00682F0B" w:rsidRDefault="00F4609E" w:rsidP="005B3CFC">
      <w:pPr>
        <w:pStyle w:val="110"/>
        <w:rPr>
          <w:lang w:val="ru-RU"/>
        </w:rPr>
      </w:pPr>
      <w:bookmarkStart w:id="36" w:name="bookmark854"/>
      <w:bookmarkStart w:id="37" w:name="_Toc93222349"/>
      <w:r w:rsidRPr="00847C67">
        <w:rPr>
          <w:lang w:val="ru"/>
        </w:rPr>
        <w:t>6</w:t>
      </w:r>
      <w:r w:rsidRPr="00847C67">
        <w:rPr>
          <w:lang w:val="ru"/>
        </w:rPr>
        <w:tab/>
        <w:t>Запросы на сертификацию</w:t>
      </w:r>
      <w:bookmarkEnd w:id="36"/>
      <w:bookmarkEnd w:id="37"/>
    </w:p>
    <w:p w14:paraId="79FB8738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bookmark855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Любой член ICAR может запросить сертификацию, подав заявку в Секретариат ICAR. Член ICAR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принимает решение, какие сферы деятельности он намеревается сертифицировать, и указывает эти сферы деятельности в заявлении, с учетом того, что деятельность, осуществляемая за пределами его организации или не осуществляемая его организацией на момент серти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фикации, не может быть сертифицирована. Формы заявлений находятся в приложении к настоящему Руководству.</w:t>
      </w:r>
      <w:bookmarkEnd w:id="38"/>
    </w:p>
    <w:p w14:paraId="417F6428" w14:textId="77777777" w:rsidR="001F0C50" w:rsidRPr="00682F0B" w:rsidRDefault="00F4609E" w:rsidP="005B3CFC">
      <w:pPr>
        <w:pStyle w:val="110"/>
        <w:rPr>
          <w:lang w:val="ru-RU"/>
        </w:rPr>
      </w:pPr>
      <w:bookmarkStart w:id="39" w:name="bookmark856"/>
      <w:bookmarkStart w:id="40" w:name="_Toc93222350"/>
      <w:r w:rsidRPr="00847C67">
        <w:rPr>
          <w:lang w:val="ru"/>
        </w:rPr>
        <w:t>7</w:t>
      </w:r>
      <w:r w:rsidRPr="00847C67">
        <w:rPr>
          <w:lang w:val="ru"/>
        </w:rPr>
        <w:tab/>
        <w:t>Процедура аудита</w:t>
      </w:r>
      <w:bookmarkEnd w:id="39"/>
      <w:bookmarkEnd w:id="40"/>
    </w:p>
    <w:p w14:paraId="4F323343" w14:textId="77777777" w:rsidR="001F0C50" w:rsidRPr="00682F0B" w:rsidRDefault="00F4609E" w:rsidP="005B3CFC">
      <w:pPr>
        <w:pStyle w:val="120"/>
        <w:rPr>
          <w:lang w:val="ru-RU"/>
        </w:rPr>
      </w:pPr>
      <w:bookmarkStart w:id="41" w:name="bookmark858"/>
      <w:bookmarkStart w:id="42" w:name="bookmark857"/>
      <w:bookmarkStart w:id="43" w:name="_Toc93222351"/>
      <w:r w:rsidRPr="00847C67">
        <w:rPr>
          <w:lang w:val="ru"/>
        </w:rPr>
        <w:t>7.1</w:t>
      </w:r>
      <w:r w:rsidRPr="00847C67">
        <w:rPr>
          <w:lang w:val="ru"/>
        </w:rPr>
        <w:tab/>
        <w:t>Напоминание</w:t>
      </w:r>
      <w:bookmarkEnd w:id="41"/>
      <w:bookmarkEnd w:id="42"/>
      <w:bookmarkEnd w:id="43"/>
    </w:p>
    <w:p w14:paraId="53E57E49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Секретариат ICAR направляет напоминание любому члену, имеющему действующий сертификат, за 6 месяцев до истечения сро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ка действия этого сертификата. Заявитель также может подать заявку, не дожидаясь напоминания.</w:t>
      </w:r>
    </w:p>
    <w:p w14:paraId="262A9468" w14:textId="77777777" w:rsidR="001F0C50" w:rsidRPr="00682F0B" w:rsidRDefault="00F4609E" w:rsidP="005B3CFC">
      <w:pPr>
        <w:pStyle w:val="120"/>
        <w:rPr>
          <w:lang w:val="ru-RU"/>
        </w:rPr>
      </w:pPr>
      <w:bookmarkStart w:id="44" w:name="bookmark860"/>
      <w:bookmarkStart w:id="45" w:name="bookmark859"/>
      <w:bookmarkStart w:id="46" w:name="_Toc93222352"/>
      <w:r w:rsidRPr="00847C67">
        <w:rPr>
          <w:lang w:val="ru"/>
        </w:rPr>
        <w:t>7.2</w:t>
      </w:r>
      <w:r w:rsidRPr="00847C67">
        <w:rPr>
          <w:lang w:val="ru"/>
        </w:rPr>
        <w:tab/>
        <w:t>Заявка и предоплата</w:t>
      </w:r>
      <w:bookmarkEnd w:id="44"/>
      <w:bookmarkEnd w:id="45"/>
      <w:bookmarkEnd w:id="46"/>
    </w:p>
    <w:p w14:paraId="4A8C241C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Организациям рекомендуется подавать заявку на сертификацию за 6 месяцев до желаемой даты утверждения. Заявка отправляется в Секретариат IC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AR для дальнейших действий. В заявке должно быть указано, какие сферы деятельности заявитель желает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передать на аудит и сертификацию. Оплата фиксированного административного сбора должна последовать незамедлительно. Прайс-лист доступен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настоящей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 сайте ICAR.</w:t>
      </w:r>
    </w:p>
    <w:p w14:paraId="7D522733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ответ на эти шаги Секретариат ICAR предоставляет заявителю соответствующие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анкеты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(примеры см.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настоящей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), а председатель ЭКГ назначает аудитора в течение двух недель после подачи заявки. Аудитор должен выбираться таким образом,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чтобы он никоим образом не зависел от проходящей аудит организации или ее прямых конкурентов.</w:t>
      </w:r>
    </w:p>
    <w:p w14:paraId="53B6D858" w14:textId="77777777" w:rsidR="001F0C50" w:rsidRPr="00682F0B" w:rsidRDefault="00F4609E" w:rsidP="005B3CFC">
      <w:pPr>
        <w:pStyle w:val="120"/>
        <w:rPr>
          <w:lang w:val="ru-RU"/>
        </w:rPr>
      </w:pPr>
      <w:bookmarkStart w:id="47" w:name="bookmark862"/>
      <w:bookmarkStart w:id="48" w:name="bookmark861"/>
      <w:bookmarkStart w:id="49" w:name="_Toc93222353"/>
      <w:r w:rsidRPr="00847C67">
        <w:rPr>
          <w:lang w:val="ru"/>
        </w:rPr>
        <w:t>7.3</w:t>
      </w:r>
      <w:r w:rsidRPr="00847C67">
        <w:rPr>
          <w:lang w:val="ru"/>
        </w:rPr>
        <w:tab/>
        <w:t>График</w:t>
      </w:r>
      <w:bookmarkEnd w:id="47"/>
      <w:bookmarkEnd w:id="48"/>
      <w:bookmarkEnd w:id="49"/>
    </w:p>
    <w:p w14:paraId="28969BE2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подачи заявки заявитель вместе с назначенным аудитором и председателем ЭКГ согласует график проведения аудита. В нем должен быть указан срок для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заполнения анкет, а также предусмотрен четырехнедельный этап получения разъяснений между этой датой и визитом. В нем также указывается дата визита. Если заявитель не передает анкету в назначенный срок и визит переносится, заявитель должен будет уплатить 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бор за изменение графика.</w:t>
      </w:r>
    </w:p>
    <w:p w14:paraId="34E706DE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 этом этапе также следует ознакомиться с расписанием заседаний Правления ICAR, чтобы узнать, когда можно будет получить окончательное утверждение сертификации.</w:t>
      </w:r>
    </w:p>
    <w:p w14:paraId="1DFF3D5B" w14:textId="77777777" w:rsidR="001F0C50" w:rsidRPr="00682F0B" w:rsidRDefault="00F4609E" w:rsidP="005B3CFC">
      <w:pPr>
        <w:pStyle w:val="120"/>
        <w:rPr>
          <w:lang w:val="ru-RU"/>
        </w:rPr>
      </w:pPr>
      <w:bookmarkStart w:id="50" w:name="bookmark864"/>
      <w:bookmarkStart w:id="51" w:name="bookmark863"/>
      <w:bookmarkStart w:id="52" w:name="_Toc93222354"/>
      <w:r w:rsidRPr="00847C67">
        <w:rPr>
          <w:lang w:val="ru"/>
        </w:rPr>
        <w:t>7.4</w:t>
      </w:r>
      <w:r w:rsidRPr="00847C67">
        <w:rPr>
          <w:lang w:val="ru"/>
        </w:rPr>
        <w:tab/>
        <w:t>Внутренний аудит</w:t>
      </w:r>
      <w:bookmarkEnd w:id="50"/>
      <w:bookmarkEnd w:id="51"/>
      <w:bookmarkEnd w:id="52"/>
    </w:p>
    <w:p w14:paraId="63E18334" w14:textId="77777777" w:rsidR="00817293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Затем заявитель проводит внутренний аудит и зап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олняет соответствующие анкеты. Заявитель должен предоставить статистику, информацию о процедурах и другие сведения, которые сделают его ответы более доступными для понимания. Анкета будет возвращена для проверки председателю ЭКГ и аудитору в назначенный ср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ок. Все материалы по аудиту, переданные председателю ЭКГ, Секретариату ICAR и аудитору, являются конфиденциальными и не подлежат дальнейшему распространению.</w:t>
      </w:r>
    </w:p>
    <w:p w14:paraId="5D73561A" w14:textId="77777777" w:rsidR="001F0C50" w:rsidRPr="00682F0B" w:rsidRDefault="00F4609E" w:rsidP="005B3CFC">
      <w:pPr>
        <w:pStyle w:val="120"/>
        <w:rPr>
          <w:lang w:val="ru-RU"/>
        </w:rPr>
      </w:pPr>
      <w:bookmarkStart w:id="53" w:name="bookmark866"/>
      <w:bookmarkStart w:id="54" w:name="bookmark865"/>
      <w:bookmarkStart w:id="55" w:name="_Toc93222355"/>
      <w:r w:rsidRPr="00847C67">
        <w:rPr>
          <w:lang w:val="ru"/>
        </w:rPr>
        <w:t>7.5</w:t>
      </w:r>
      <w:r w:rsidRPr="00847C67">
        <w:rPr>
          <w:lang w:val="ru"/>
        </w:rPr>
        <w:tab/>
        <w:t>Этап получения разъяснений</w:t>
      </w:r>
      <w:bookmarkEnd w:id="53"/>
      <w:bookmarkEnd w:id="54"/>
      <w:bookmarkEnd w:id="55"/>
    </w:p>
    <w:p w14:paraId="2CBB1916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Затем аудитору даются две недели на ознакомление с документацией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запрос дополнительных разъяснений. Заявитель должен ответить на вопросы аудитора в течение двух недель после их получения. На этом этапе будет установлено количество аудиторов и время, необходимое для аудита.</w:t>
      </w:r>
    </w:p>
    <w:p w14:paraId="20BE1B37" w14:textId="77777777" w:rsidR="001F0C50" w:rsidRPr="00682F0B" w:rsidRDefault="00F4609E" w:rsidP="005B3CFC">
      <w:pPr>
        <w:pStyle w:val="120"/>
        <w:rPr>
          <w:lang w:val="ru-RU"/>
        </w:rPr>
      </w:pPr>
      <w:bookmarkStart w:id="56" w:name="bookmark868"/>
      <w:bookmarkStart w:id="57" w:name="bookmark867"/>
      <w:bookmarkStart w:id="58" w:name="_Toc93222356"/>
      <w:r w:rsidRPr="00847C67">
        <w:rPr>
          <w:lang w:val="ru"/>
        </w:rPr>
        <w:t>7.6</w:t>
      </w:r>
      <w:r w:rsidRPr="00847C67">
        <w:rPr>
          <w:lang w:val="ru"/>
        </w:rPr>
        <w:tab/>
        <w:t>Посещение аудитора</w:t>
      </w:r>
      <w:bookmarkEnd w:id="56"/>
      <w:bookmarkEnd w:id="57"/>
      <w:bookmarkEnd w:id="58"/>
    </w:p>
    <w:p w14:paraId="3826C5A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 периода получения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разъяснений аудитор предпринимает визит на объект заявителя. Все соответствующие действия должны быть продемонстрированы Аудитору на практике. Если в заявке участвует несколько местных организаций, количество посещаемых организаций равно квадратному корню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из общего количества организаций. Заявитель оплачивает все местные расходы аудитора (питание и проживание). Кроме того, Секретариат ICAR взимает с заявителя фиксированную стоимость проезда. Аудитор самостоятельно приобретает билеты и отправляет счет в Секр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етариат ICAR для возврата денег.</w:t>
      </w:r>
    </w:p>
    <w:p w14:paraId="4278714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 проведении аудита, перед тем, как покинуть объект, аудиторы должны провести итоговую встречу с руководством проходящей аудит организации, в ходе которой они:</w:t>
      </w:r>
    </w:p>
    <w:p w14:paraId="219D9432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Предоставляют предварительные результаты аудита с указание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м выявленных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несоответствий и предложений.</w:t>
      </w:r>
    </w:p>
    <w:p w14:paraId="354B03E1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Включают рекомендации, которые будут отправлены на утверждение ГД, а затем в Правление.</w:t>
      </w:r>
    </w:p>
    <w:p w14:paraId="19E08DA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Сообщают, что официальный сертификат будет отправлен после уведомления Правления.</w:t>
      </w:r>
    </w:p>
    <w:p w14:paraId="56A815DD" w14:textId="77777777" w:rsidR="001F0C50" w:rsidRPr="00682F0B" w:rsidRDefault="00F4609E" w:rsidP="005B3CFC">
      <w:pPr>
        <w:pStyle w:val="120"/>
        <w:rPr>
          <w:lang w:val="ru-RU"/>
        </w:rPr>
      </w:pPr>
      <w:bookmarkStart w:id="59" w:name="bookmark870"/>
      <w:bookmarkStart w:id="60" w:name="bookmark869"/>
      <w:bookmarkStart w:id="61" w:name="_Toc93222357"/>
      <w:r w:rsidRPr="00847C67">
        <w:rPr>
          <w:lang w:val="ru"/>
        </w:rPr>
        <w:t>7.7</w:t>
      </w:r>
      <w:r w:rsidRPr="00847C67">
        <w:rPr>
          <w:lang w:val="ru"/>
        </w:rPr>
        <w:tab/>
        <w:t>Окончательный расчет</w:t>
      </w:r>
      <w:bookmarkEnd w:id="59"/>
      <w:bookmarkEnd w:id="60"/>
      <w:bookmarkEnd w:id="61"/>
    </w:p>
    <w:p w14:paraId="095BAE55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 визита Секретариат ICAR направляет счет для окончательной оплаты. Окончательная оплата должна быть произведена немедленно. Актуальный прайс-лист можно найти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сайте ICAR.</w:t>
      </w:r>
    </w:p>
    <w:p w14:paraId="1D3BADB3" w14:textId="77777777" w:rsidR="001F0C50" w:rsidRPr="00682F0B" w:rsidRDefault="00F4609E" w:rsidP="005B3CFC">
      <w:pPr>
        <w:pStyle w:val="120"/>
        <w:rPr>
          <w:lang w:val="ru-RU"/>
        </w:rPr>
      </w:pPr>
      <w:bookmarkStart w:id="62" w:name="bookmark872"/>
      <w:bookmarkStart w:id="63" w:name="bookmark871"/>
      <w:bookmarkStart w:id="64" w:name="_Toc93222358"/>
      <w:r w:rsidRPr="00847C67">
        <w:rPr>
          <w:lang w:val="ru"/>
        </w:rPr>
        <w:t>7.8</w:t>
      </w:r>
      <w:r w:rsidRPr="00847C67">
        <w:rPr>
          <w:lang w:val="ru"/>
        </w:rPr>
        <w:tab/>
        <w:t>Отчет аудитора</w:t>
      </w:r>
      <w:bookmarkEnd w:id="62"/>
      <w:bookmarkEnd w:id="63"/>
      <w:bookmarkEnd w:id="64"/>
    </w:p>
    <w:p w14:paraId="1583760F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Аудитор должен закончить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составление отчета в течение двух недель после визита и передать его в Секретариат ICAR для утверждения ГД и уведомления Правления ICAR. Секретариат ICAR также направляет заявителю отчет после его утверждения. Аудитор не вправе передавать отчет непосредств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енно заявителю, но он, несомненно, может и должен обобщить свои выводы и требования перед заявителем на заключительном итоговом совещании перед отъездом.</w:t>
      </w:r>
    </w:p>
    <w:p w14:paraId="6F54E29B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своем отчете аудитор может:</w:t>
      </w:r>
    </w:p>
    <w:p w14:paraId="26864740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определить заявку как неудовлетворительную, с указанием причин, по ко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торым выдача сертификата невозможна;</w:t>
      </w:r>
    </w:p>
    <w:p w14:paraId="08682E4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потребовать внесение изменений перед выдачей сертификата;</w:t>
      </w:r>
    </w:p>
    <w:p w14:paraId="1FC527D3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рекомендовать выдать сертификат, при условии внесения изменений до проведения следующего консультативного обзора или аудита;</w:t>
      </w:r>
    </w:p>
    <w:p w14:paraId="69959A0C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предоставить рекомендации;</w:t>
      </w:r>
    </w:p>
    <w:p w14:paraId="2B43BABE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рекомендовать предоставление сертификата без дополнительных условий.</w:t>
      </w:r>
    </w:p>
    <w:p w14:paraId="605FD294" w14:textId="77777777" w:rsidR="001F0C50" w:rsidRPr="00682F0B" w:rsidRDefault="00F4609E" w:rsidP="005B3CFC">
      <w:pPr>
        <w:pStyle w:val="120"/>
        <w:rPr>
          <w:lang w:val="ru-RU"/>
        </w:rPr>
      </w:pPr>
      <w:bookmarkStart w:id="65" w:name="bookmark874"/>
      <w:bookmarkStart w:id="66" w:name="bookmark873"/>
      <w:bookmarkStart w:id="67" w:name="_Toc93222359"/>
      <w:r w:rsidRPr="00847C67">
        <w:rPr>
          <w:lang w:val="ru"/>
        </w:rPr>
        <w:t>7.9</w:t>
      </w:r>
      <w:r w:rsidRPr="00847C67">
        <w:rPr>
          <w:lang w:val="ru"/>
        </w:rPr>
        <w:tab/>
        <w:t>Оценочная анкета</w:t>
      </w:r>
      <w:bookmarkEnd w:id="65"/>
      <w:bookmarkEnd w:id="66"/>
      <w:bookmarkEnd w:id="67"/>
    </w:p>
    <w:p w14:paraId="571E6383" w14:textId="77777777" w:rsidR="00817293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 окончательного оформления отчета Председатель ЭКГ направит аудитору и заявителю ссылку на оценочную анкету по результатам аудита. Таким образом, у них будет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возможность оценить и оставить отзыв по нескольким аспектам аудита.</w:t>
      </w:r>
    </w:p>
    <w:p w14:paraId="43DC7A12" w14:textId="77777777" w:rsidR="001F0C50" w:rsidRPr="00682F0B" w:rsidRDefault="00F4609E" w:rsidP="005B3CFC">
      <w:pPr>
        <w:pStyle w:val="120"/>
        <w:rPr>
          <w:lang w:val="ru-RU"/>
        </w:rPr>
      </w:pPr>
      <w:bookmarkStart w:id="68" w:name="bookmark876"/>
      <w:bookmarkStart w:id="69" w:name="bookmark875"/>
      <w:bookmarkStart w:id="70" w:name="_Toc93222360"/>
      <w:r w:rsidRPr="00847C67">
        <w:rPr>
          <w:lang w:val="ru"/>
        </w:rPr>
        <w:t>7.10</w:t>
      </w:r>
      <w:r w:rsidRPr="00847C67">
        <w:rPr>
          <w:lang w:val="ru"/>
        </w:rPr>
        <w:tab/>
        <w:t>Вознаграждение аудитора</w:t>
      </w:r>
      <w:bookmarkEnd w:id="68"/>
      <w:bookmarkEnd w:id="69"/>
      <w:bookmarkEnd w:id="70"/>
    </w:p>
    <w:p w14:paraId="7C43EA70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Секретариат направляет шаблон документа с подробной информацией о расходах и гонорарах, понесенных аудитором(-ами). После завершения аудиторского отчета аудито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р(-ы) или его (их) работодатель(-и) отправляют в Секретариат счет-фактуру с номером НДС (для стран ЕС) и действительным номером налогоплательщика (для стран, не входящих в ЕС). Этот платеж является гонораром, и по этой причине для него необходим счет-факту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ра; рассматривать время аудиторов в качестве «компенсации» недопустимо. Гонорар определяется согласно прейскуранту, предоставленному Секретариатом ICAR. Командировочные расходы компенсируются на основании фактических счетов.</w:t>
      </w:r>
    </w:p>
    <w:p w14:paraId="5485CC16" w14:textId="77777777" w:rsidR="001F0C50" w:rsidRPr="00682F0B" w:rsidRDefault="00F4609E" w:rsidP="005B3CFC">
      <w:pPr>
        <w:pStyle w:val="120"/>
        <w:rPr>
          <w:lang w:val="ru-RU"/>
        </w:rPr>
      </w:pPr>
      <w:bookmarkStart w:id="71" w:name="bookmark878"/>
      <w:bookmarkStart w:id="72" w:name="bookmark877"/>
      <w:bookmarkStart w:id="73" w:name="_Toc93222361"/>
      <w:r w:rsidRPr="00847C67">
        <w:rPr>
          <w:lang w:val="ru"/>
        </w:rPr>
        <w:lastRenderedPageBreak/>
        <w:t>7.11</w:t>
      </w:r>
      <w:r w:rsidRPr="00847C67">
        <w:rPr>
          <w:lang w:val="ru"/>
        </w:rPr>
        <w:tab/>
        <w:t>Утверждение ГД и уведомлен</w:t>
      </w:r>
      <w:r w:rsidRPr="00847C67">
        <w:rPr>
          <w:lang w:val="ru"/>
        </w:rPr>
        <w:t>ие Совета</w:t>
      </w:r>
      <w:bookmarkEnd w:id="71"/>
      <w:bookmarkEnd w:id="72"/>
      <w:bookmarkEnd w:id="73"/>
    </w:p>
    <w:p w14:paraId="2BF35C82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получения отчета аудитора Секретариат ICAR информирует ГД ICAR, который утверждает или отклоняет заявку. ГД уведомляет Правление ICAR о каждом решении (утверждение/отклонение) на следующем очередном заседании Правления. Отчеты об аудите пре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доставляются для ознакомления членам Правления, при необходимости.</w:t>
      </w:r>
    </w:p>
    <w:p w14:paraId="3230AC03" w14:textId="77777777" w:rsidR="001F0C50" w:rsidRPr="00682F0B" w:rsidRDefault="00F4609E" w:rsidP="005B3CFC">
      <w:pPr>
        <w:pStyle w:val="120"/>
        <w:rPr>
          <w:lang w:val="ru-RU"/>
        </w:rPr>
      </w:pPr>
      <w:bookmarkStart w:id="74" w:name="bookmark880"/>
      <w:bookmarkStart w:id="75" w:name="bookmark879"/>
      <w:bookmarkStart w:id="76" w:name="_Toc93222362"/>
      <w:r w:rsidRPr="00847C67">
        <w:rPr>
          <w:lang w:val="ru"/>
        </w:rPr>
        <w:t>7.12</w:t>
      </w:r>
      <w:r w:rsidRPr="00847C67">
        <w:rPr>
          <w:lang w:val="ru"/>
        </w:rPr>
        <w:tab/>
        <w:t>Вручение сертификата</w:t>
      </w:r>
      <w:bookmarkEnd w:id="74"/>
      <w:bookmarkEnd w:id="75"/>
      <w:bookmarkEnd w:id="76"/>
    </w:p>
    <w:p w14:paraId="1043BF3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bookmark881"/>
      <w:r w:rsidRPr="00847C67">
        <w:rPr>
          <w:rFonts w:ascii="Times New Roman" w:hAnsi="Times New Roman" w:cs="Times New Roman"/>
          <w:sz w:val="24"/>
          <w:szCs w:val="24"/>
          <w:lang w:val="ru"/>
        </w:rPr>
        <w:t>Сертификат может быть выдан сразу после уведомления Правления ICAR. Он может выдаваться в электронном виде, направляться по почте или выдаваться на следующей Генер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альной Ассамблее ICAR, в соответствии с конкретными пожеланиями членов.</w:t>
      </w:r>
      <w:bookmarkEnd w:id="77"/>
    </w:p>
    <w:p w14:paraId="120A74F3" w14:textId="77777777" w:rsidR="001F0C50" w:rsidRPr="00682F0B" w:rsidRDefault="00F4609E" w:rsidP="005B3CFC">
      <w:pPr>
        <w:pStyle w:val="110"/>
        <w:rPr>
          <w:lang w:val="ru-RU"/>
        </w:rPr>
      </w:pPr>
      <w:bookmarkStart w:id="78" w:name="bookmark882"/>
      <w:bookmarkStart w:id="79" w:name="_Toc93222363"/>
      <w:r w:rsidRPr="00847C67">
        <w:rPr>
          <w:lang w:val="ru"/>
        </w:rPr>
        <w:t>8</w:t>
      </w:r>
      <w:r w:rsidRPr="00847C67">
        <w:rPr>
          <w:lang w:val="ru"/>
        </w:rPr>
        <w:tab/>
        <w:t>Процедура консультативного обзора</w:t>
      </w:r>
      <w:bookmarkEnd w:id="78"/>
      <w:bookmarkEnd w:id="79"/>
    </w:p>
    <w:p w14:paraId="36353FF5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Консультативный обзор должен быть проведен через 30 месяцев после выдачи сертификата. Его цель — ознакомиться с изменениями, внесенными в течение пе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риода сертификации. Процесс консультативного обзора во многом аналогичен описанному выше процессу аудита с некоторыми изменениями.</w:t>
      </w:r>
    </w:p>
    <w:p w14:paraId="33E35DE4" w14:textId="77777777" w:rsidR="001F0C50" w:rsidRPr="00682F0B" w:rsidRDefault="00F4609E" w:rsidP="005B3CFC">
      <w:pPr>
        <w:pStyle w:val="120"/>
        <w:rPr>
          <w:lang w:val="ru-RU"/>
        </w:rPr>
      </w:pPr>
      <w:bookmarkStart w:id="80" w:name="bookmark884"/>
      <w:bookmarkStart w:id="81" w:name="bookmark883"/>
      <w:bookmarkStart w:id="82" w:name="_Toc93222364"/>
      <w:r w:rsidRPr="00847C67">
        <w:rPr>
          <w:lang w:val="ru"/>
        </w:rPr>
        <w:t>8.1</w:t>
      </w:r>
      <w:r w:rsidRPr="00847C67">
        <w:rPr>
          <w:lang w:val="ru"/>
        </w:rPr>
        <w:tab/>
        <w:t>Напоминание</w:t>
      </w:r>
      <w:bookmarkEnd w:id="80"/>
      <w:bookmarkEnd w:id="81"/>
      <w:bookmarkEnd w:id="82"/>
    </w:p>
    <w:p w14:paraId="3495BD09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Секретариат ICAR направляет соответствующее напоминание любому члену, имеющему действующий сертификат, через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24 месяца после выдачи сертификата. Заявитель также может подать заявку на проведение консультативного обзора, не дожидаясь напоминания.</w:t>
      </w:r>
    </w:p>
    <w:p w14:paraId="6F81C780" w14:textId="77777777" w:rsidR="001F0C50" w:rsidRPr="00682F0B" w:rsidRDefault="00F4609E" w:rsidP="005B3CFC">
      <w:pPr>
        <w:pStyle w:val="120"/>
        <w:rPr>
          <w:lang w:val="ru-RU"/>
        </w:rPr>
      </w:pPr>
      <w:bookmarkStart w:id="83" w:name="bookmark886"/>
      <w:bookmarkStart w:id="84" w:name="bookmark885"/>
      <w:bookmarkStart w:id="85" w:name="_Toc93222365"/>
      <w:r w:rsidRPr="00847C67">
        <w:rPr>
          <w:lang w:val="ru"/>
        </w:rPr>
        <w:t>8.2</w:t>
      </w:r>
      <w:r w:rsidRPr="00847C67">
        <w:rPr>
          <w:lang w:val="ru"/>
        </w:rPr>
        <w:tab/>
        <w:t>Заявка и предоплата</w:t>
      </w:r>
      <w:bookmarkEnd w:id="83"/>
      <w:bookmarkEnd w:id="84"/>
      <w:bookmarkEnd w:id="85"/>
    </w:p>
    <w:p w14:paraId="60CF7368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Участник подает заявку на консультативный обзор не позднее даты получения напоминания. В прилож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ении необходимо указать, в отношении каких сфер деятельности участник намерен получить сертификат. На этапе консультативного обзора новые области деятельности не могут добавляться в обычном порядке. Оплата фиксированного административного сбора должна посл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едовать незамедлительно. Актуальный прайс-лист можно найти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сайте ICAR.</w:t>
      </w:r>
    </w:p>
    <w:p w14:paraId="118B4B0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ответ на эти шаги Секретариат ICAR предоставляет заявителю соответствующие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анкеты,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а Председатель ЭКГ назначает аудитора в течение двух недель с момента подачи заявки.</w:t>
      </w:r>
    </w:p>
    <w:p w14:paraId="27C92042" w14:textId="77777777" w:rsidR="001F0C50" w:rsidRPr="00682F0B" w:rsidRDefault="00F4609E" w:rsidP="005B3CFC">
      <w:pPr>
        <w:pStyle w:val="120"/>
        <w:rPr>
          <w:lang w:val="ru-RU"/>
        </w:rPr>
      </w:pPr>
      <w:bookmarkStart w:id="86" w:name="bookmark888"/>
      <w:bookmarkStart w:id="87" w:name="bookmark887"/>
      <w:bookmarkStart w:id="88" w:name="_Toc93222366"/>
      <w:r w:rsidRPr="00847C67">
        <w:rPr>
          <w:lang w:val="ru"/>
        </w:rPr>
        <w:t>8.3</w:t>
      </w:r>
      <w:r w:rsidRPr="00847C67">
        <w:rPr>
          <w:lang w:val="ru"/>
        </w:rPr>
        <w:tab/>
        <w:t>График</w:t>
      </w:r>
      <w:bookmarkEnd w:id="86"/>
      <w:bookmarkEnd w:id="87"/>
      <w:bookmarkEnd w:id="88"/>
    </w:p>
    <w:p w14:paraId="69E754F9" w14:textId="77777777" w:rsidR="00817293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подачи заявки заявитель вместе с назначенным аудитором и Секретариатом ICAR согласует график консультативного обзора. В нем должен быть указан срок для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аполнения анкет, а также предусмотрен четырехнедельный этап получения разъяснений перед написанием отчета аудитора.</w:t>
      </w:r>
    </w:p>
    <w:p w14:paraId="6AB3BBDB" w14:textId="77777777" w:rsidR="001F0C50" w:rsidRPr="00682F0B" w:rsidRDefault="00F4609E" w:rsidP="005B3CFC">
      <w:pPr>
        <w:pStyle w:val="120"/>
        <w:rPr>
          <w:lang w:val="ru-RU"/>
        </w:rPr>
      </w:pPr>
      <w:bookmarkStart w:id="89" w:name="bookmark890"/>
      <w:bookmarkStart w:id="90" w:name="bookmark889"/>
      <w:bookmarkStart w:id="91" w:name="_Toc93222367"/>
      <w:r w:rsidRPr="00847C67">
        <w:rPr>
          <w:lang w:val="ru"/>
        </w:rPr>
        <w:t>8.4</w:t>
      </w:r>
      <w:r w:rsidRPr="00847C67">
        <w:rPr>
          <w:lang w:val="ru"/>
        </w:rPr>
        <w:tab/>
        <w:t>Анкета</w:t>
      </w:r>
      <w:bookmarkEnd w:id="89"/>
      <w:bookmarkEnd w:id="90"/>
      <w:bookmarkEnd w:id="91"/>
    </w:p>
    <w:p w14:paraId="0C3AB3E0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Затем заявитель заполняет соответствующие анкеты. При этом ему рекомендуется давать достаточно развернутые ответы, а также предос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тавлять статистику, информацию о процедурах и другие сведения, которые сделают его ответы более доступными для понимания. Анкета будет передана аудитору для проверки к назначенной дате.</w:t>
      </w:r>
    </w:p>
    <w:p w14:paraId="431360C2" w14:textId="77777777" w:rsidR="001F0C50" w:rsidRPr="00682F0B" w:rsidRDefault="00F4609E" w:rsidP="005B3CFC">
      <w:pPr>
        <w:pStyle w:val="120"/>
        <w:rPr>
          <w:lang w:val="ru-RU"/>
        </w:rPr>
      </w:pPr>
      <w:bookmarkStart w:id="92" w:name="bookmark892"/>
      <w:bookmarkStart w:id="93" w:name="bookmark891"/>
      <w:bookmarkStart w:id="94" w:name="_Toc93222368"/>
      <w:r w:rsidRPr="00847C67">
        <w:rPr>
          <w:lang w:val="ru"/>
        </w:rPr>
        <w:lastRenderedPageBreak/>
        <w:t>8.5</w:t>
      </w:r>
      <w:r w:rsidRPr="00847C67">
        <w:rPr>
          <w:lang w:val="ru"/>
        </w:rPr>
        <w:tab/>
        <w:t>Этап получения разъяснений</w:t>
      </w:r>
      <w:bookmarkEnd w:id="92"/>
      <w:bookmarkEnd w:id="93"/>
      <w:bookmarkEnd w:id="94"/>
    </w:p>
    <w:p w14:paraId="5973B7C9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Затем аудитору даются две недели на озн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акомление с документацией и запрос дополнительных разъяснений. Заявитель должен ответить на вопросы аудитора в течение двух недель после их получения.</w:t>
      </w:r>
    </w:p>
    <w:p w14:paraId="475E7488" w14:textId="77777777" w:rsidR="001F0C50" w:rsidRPr="00682F0B" w:rsidRDefault="00F4609E" w:rsidP="005B3CFC">
      <w:pPr>
        <w:pStyle w:val="120"/>
        <w:rPr>
          <w:lang w:val="ru-RU"/>
        </w:rPr>
      </w:pPr>
      <w:bookmarkStart w:id="95" w:name="bookmark894"/>
      <w:bookmarkStart w:id="96" w:name="bookmark893"/>
      <w:bookmarkStart w:id="97" w:name="_Toc93222369"/>
      <w:r w:rsidRPr="00847C67">
        <w:rPr>
          <w:lang w:val="ru"/>
        </w:rPr>
        <w:t>8.6</w:t>
      </w:r>
      <w:r w:rsidRPr="00847C67">
        <w:rPr>
          <w:lang w:val="ru"/>
        </w:rPr>
        <w:tab/>
        <w:t>Окончательный расчет</w:t>
      </w:r>
      <w:bookmarkEnd w:id="95"/>
      <w:bookmarkEnd w:id="96"/>
      <w:bookmarkEnd w:id="97"/>
    </w:p>
    <w:p w14:paraId="0DA96F6F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 периода получения разъяснений Секретариат ICAR вышлет счет для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окончательного платежа. Окончательная оплата должна быть произведена немедленно. Актуальный прайс-лист можно найти на сайте ICAR.</w:t>
      </w:r>
    </w:p>
    <w:p w14:paraId="3824A9A0" w14:textId="77777777" w:rsidR="001F0C50" w:rsidRPr="00682F0B" w:rsidRDefault="00F4609E" w:rsidP="005B3CFC">
      <w:pPr>
        <w:pStyle w:val="120"/>
        <w:rPr>
          <w:lang w:val="ru-RU"/>
        </w:rPr>
      </w:pPr>
      <w:bookmarkStart w:id="98" w:name="bookmark896"/>
      <w:bookmarkStart w:id="99" w:name="bookmark895"/>
      <w:bookmarkStart w:id="100" w:name="_Toc93222370"/>
      <w:r w:rsidRPr="00847C67">
        <w:rPr>
          <w:lang w:val="ru"/>
        </w:rPr>
        <w:t>8.7</w:t>
      </w:r>
      <w:r w:rsidRPr="00847C67">
        <w:rPr>
          <w:lang w:val="ru"/>
        </w:rPr>
        <w:tab/>
        <w:t>Отчет аудитора</w:t>
      </w:r>
      <w:bookmarkEnd w:id="98"/>
      <w:bookmarkEnd w:id="99"/>
      <w:bookmarkEnd w:id="100"/>
    </w:p>
    <w:p w14:paraId="718C30B8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Аудитор должен завершить составление отчета в течение двух недель после периода получения разъяснений и пер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едать его в Секретариат ICAR для утверждения ГД и уведомления Правления ICAR. Секретариат ICAR также отправит отчет заявителю вместе с письмом об утверждении или отклонении.</w:t>
      </w:r>
    </w:p>
    <w:p w14:paraId="2A35FBA1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своем отчете аудитор может, в отношении одной или нескольких СД:</w:t>
      </w:r>
    </w:p>
    <w:p w14:paraId="740321D5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определить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аявку как неудовлетворительную, с указанием причин, по которым продление сертификата невозможно;</w:t>
      </w:r>
    </w:p>
    <w:p w14:paraId="3735DA1F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потребовать внесения изменений перед продлением сертификата;</w:t>
      </w:r>
    </w:p>
    <w:p w14:paraId="27FDA6EA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рекомендовать продлить сертификат, при условии внесения изменений до проведения следующего 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удита;</w:t>
      </w:r>
    </w:p>
    <w:p w14:paraId="48F915B5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предоставить рекомендации;</w:t>
      </w:r>
    </w:p>
    <w:p w14:paraId="16C28B29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рекомендовать продлить сертификат без дополнительных условий.</w:t>
      </w:r>
    </w:p>
    <w:p w14:paraId="40616588" w14:textId="77777777" w:rsidR="001F0C50" w:rsidRPr="00682F0B" w:rsidRDefault="00F4609E" w:rsidP="005B3CFC">
      <w:pPr>
        <w:pStyle w:val="120"/>
        <w:rPr>
          <w:lang w:val="ru-RU"/>
        </w:rPr>
      </w:pPr>
      <w:bookmarkStart w:id="101" w:name="bookmark898"/>
      <w:bookmarkStart w:id="102" w:name="bookmark897"/>
      <w:bookmarkStart w:id="103" w:name="_Toc93222371"/>
      <w:r w:rsidRPr="00847C67">
        <w:rPr>
          <w:lang w:val="ru"/>
        </w:rPr>
        <w:t>8.8</w:t>
      </w:r>
      <w:r w:rsidRPr="00847C67">
        <w:rPr>
          <w:lang w:val="ru"/>
        </w:rPr>
        <w:tab/>
        <w:t>Оценочная анкета</w:t>
      </w:r>
      <w:bookmarkEnd w:id="101"/>
      <w:bookmarkEnd w:id="102"/>
      <w:bookmarkEnd w:id="103"/>
    </w:p>
    <w:p w14:paraId="7380F0BD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окончательного оформления отчета Председатель ЕАГ направит ссылку на оценочную анкету по результатам консультативного обзора ка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 аудитору, так и заявителю. Таким образом, у них будет возможность оценить и оставить отзыв по нескольким аспектам консультативного обзора.</w:t>
      </w:r>
    </w:p>
    <w:p w14:paraId="34A076CD" w14:textId="77777777" w:rsidR="001F0C50" w:rsidRPr="00682F0B" w:rsidRDefault="00F4609E" w:rsidP="005B3CFC">
      <w:pPr>
        <w:pStyle w:val="120"/>
        <w:rPr>
          <w:lang w:val="ru-RU"/>
        </w:rPr>
      </w:pPr>
      <w:bookmarkStart w:id="104" w:name="bookmark900"/>
      <w:bookmarkStart w:id="105" w:name="bookmark899"/>
      <w:bookmarkStart w:id="106" w:name="_Toc93222372"/>
      <w:r w:rsidRPr="00847C67">
        <w:rPr>
          <w:lang w:val="ru"/>
        </w:rPr>
        <w:t>8.9</w:t>
      </w:r>
      <w:r w:rsidRPr="00847C67">
        <w:rPr>
          <w:lang w:val="ru"/>
        </w:rPr>
        <w:tab/>
        <w:t>Вознаграждение аудитора</w:t>
      </w:r>
      <w:bookmarkEnd w:id="104"/>
      <w:bookmarkEnd w:id="105"/>
      <w:bookmarkEnd w:id="106"/>
    </w:p>
    <w:p w14:paraId="0AFA5EEF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bookmark901"/>
      <w:r w:rsidRPr="00847C67">
        <w:rPr>
          <w:rFonts w:ascii="Times New Roman" w:hAnsi="Times New Roman" w:cs="Times New Roman"/>
          <w:sz w:val="24"/>
          <w:szCs w:val="24"/>
          <w:lang w:val="ru"/>
        </w:rPr>
        <w:t>Аудитор после завершения аудиторского отчета направляет счет за свои услуги в Секретари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ат ICAR в соответствии с прейскурантом, предоставленным Секретариатом ICAR.</w:t>
      </w:r>
      <w:bookmarkEnd w:id="107"/>
    </w:p>
    <w:p w14:paraId="42189CBD" w14:textId="77777777" w:rsidR="001F0C50" w:rsidRPr="00682F0B" w:rsidRDefault="00F4609E" w:rsidP="005B3CFC">
      <w:pPr>
        <w:pStyle w:val="110"/>
        <w:rPr>
          <w:lang w:val="ru-RU"/>
        </w:rPr>
      </w:pPr>
      <w:bookmarkStart w:id="108" w:name="bookmark902"/>
      <w:bookmarkStart w:id="109" w:name="_Toc93222373"/>
      <w:r w:rsidRPr="00847C67">
        <w:rPr>
          <w:lang w:val="ru"/>
        </w:rPr>
        <w:t>9</w:t>
      </w:r>
      <w:r w:rsidRPr="00847C67">
        <w:rPr>
          <w:lang w:val="ru"/>
        </w:rPr>
        <w:tab/>
        <w:t>Срок действия сертификата</w:t>
      </w:r>
      <w:bookmarkEnd w:id="108"/>
      <w:bookmarkEnd w:id="109"/>
    </w:p>
    <w:p w14:paraId="4541D50D" w14:textId="77777777" w:rsidR="00817293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Сертификат качества ICAR выдается сроком на пять лет с условием проведения консультативного обзора в середине этого срока. Окончательная дата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истечения срока действия указана в Сертификате. Организации, имеющие действующий сертификат, указаны на веб-сайте ICAR как сертифицированные организации. Они также имеют право использовать логотип Сертификата качества на всей своей документации, относящейс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к сертифицируемым сферам деятельности. По истечении срока действия сертификата организация теряет эти привилегии, закрепленные за сертификатом.</w:t>
      </w:r>
    </w:p>
    <w:p w14:paraId="09973E20" w14:textId="77777777" w:rsidR="001F0C50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Организация может лишиться сертификата и связанных с ним привилегии до истечения запланированного срока в след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ующих случаях:</w:t>
      </w:r>
    </w:p>
    <w:p w14:paraId="0A370268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она прекращает работать в сертифицированной сфере деятельности или не предоставляет доказательства такой работы</w:t>
      </w:r>
    </w:p>
    <w:p w14:paraId="7B640CC5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она существенно изменяет свои рабочие процедуры, и они больше не соответствуют стандартам ICAR</w:t>
      </w:r>
    </w:p>
    <w:p w14:paraId="484ADC39" w14:textId="77777777" w:rsidR="001F0C50" w:rsidRPr="00682F0B" w:rsidRDefault="00F4609E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bookmark903"/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она не соответствует треб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ованиям в отношении консультативного обзора</w:t>
      </w:r>
      <w:bookmarkEnd w:id="110"/>
    </w:p>
    <w:p w14:paraId="7AEF5DE1" w14:textId="77777777" w:rsidR="001F0C50" w:rsidRPr="00682F0B" w:rsidRDefault="00F4609E" w:rsidP="005B3CFC">
      <w:pPr>
        <w:pStyle w:val="110"/>
        <w:rPr>
          <w:lang w:val="ru-RU"/>
        </w:rPr>
      </w:pPr>
      <w:bookmarkStart w:id="111" w:name="bookmark904"/>
      <w:bookmarkStart w:id="112" w:name="_Toc93222374"/>
      <w:r w:rsidRPr="00847C67">
        <w:rPr>
          <w:lang w:val="ru"/>
        </w:rPr>
        <w:t>10</w:t>
      </w:r>
      <w:r w:rsidRPr="00847C67">
        <w:rPr>
          <w:lang w:val="ru"/>
        </w:rPr>
        <w:tab/>
        <w:t>Приложения</w:t>
      </w:r>
      <w:bookmarkEnd w:id="111"/>
      <w:bookmarkEnd w:id="112"/>
    </w:p>
    <w:p w14:paraId="4BF18583" w14:textId="77777777" w:rsidR="00B05E6A" w:rsidRPr="00682F0B" w:rsidRDefault="00F4609E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Формы, анкеты, шаблоны аудиторских отчетов и информация об оплате доступны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веб-сайте ICAR.</w:t>
      </w:r>
    </w:p>
    <w:sectPr w:rsidR="00B05E6A" w:rsidRPr="00682F0B" w:rsidSect="006A4A15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CA01" w14:textId="77777777" w:rsidR="00F4609E" w:rsidRDefault="00F4609E">
      <w:r>
        <w:separator/>
      </w:r>
    </w:p>
  </w:endnote>
  <w:endnote w:type="continuationSeparator" w:id="0">
    <w:p w14:paraId="6BC38428" w14:textId="77777777" w:rsidR="00F4609E" w:rsidRDefault="00F4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81AB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E42B3E" w14:paraId="66054156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5A961DDD" w14:textId="77777777" w:rsidR="005F0D17" w:rsidRPr="005F0D17" w:rsidRDefault="00F4609E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73D62986" wp14:editId="7A03DE01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8913462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4C048F96" w14:textId="77777777" w:rsidR="005F0D17" w:rsidRPr="005F0D17" w:rsidRDefault="00F4609E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B3CF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Сертификат качества / Стр.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201FF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5B3CF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201FF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5B3CF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E42B3E" w14:paraId="3337F81D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72A863E5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410D385C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05365073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9E0D" w14:textId="77777777" w:rsidR="00847C67" w:rsidRDefault="00847C67" w:rsidP="00847C67">
    <w:pPr>
      <w:pStyle w:val="ac"/>
    </w:pPr>
  </w:p>
  <w:p w14:paraId="34B5406D" w14:textId="77777777" w:rsidR="00847C67" w:rsidRPr="00847C67" w:rsidRDefault="00F4609E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28755810" w14:textId="77777777" w:rsidR="00847C67" w:rsidRPr="005F0D17" w:rsidRDefault="00F4609E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04246B5A" wp14:editId="04370E8A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4758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4F356DC1" wp14:editId="4FC06E59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97588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8A28" w14:textId="77777777" w:rsidR="00F4609E" w:rsidRDefault="00F4609E">
      <w:r>
        <w:separator/>
      </w:r>
    </w:p>
  </w:footnote>
  <w:footnote w:type="continuationSeparator" w:id="0">
    <w:p w14:paraId="67E26A11" w14:textId="77777777" w:rsidR="00F4609E" w:rsidRDefault="00F4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E42B3E" w:rsidRPr="00682F0B" w14:paraId="466263FB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3FF8B693" w14:textId="77777777" w:rsidR="005B3CFC" w:rsidRPr="00682F0B" w:rsidRDefault="00F4609E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5B3CFC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Раздел 8. Сертификат качества</w:t>
          </w:r>
        </w:p>
        <w:p w14:paraId="4380FC78" w14:textId="77777777" w:rsidR="005F0D17" w:rsidRPr="00682F0B" w:rsidRDefault="00F4609E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5B3CFC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2019 г.</w:t>
          </w:r>
        </w:p>
      </w:tc>
    </w:tr>
  </w:tbl>
  <w:p w14:paraId="47A26C99" w14:textId="77777777" w:rsidR="005F0D17" w:rsidRPr="00682F0B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E42B3E" w:rsidRPr="00682F0B" w14:paraId="4E77CBF6" w14:textId="77777777" w:rsidTr="00682F0B">
      <w:tc>
        <w:tcPr>
          <w:tcW w:w="1536" w:type="dxa"/>
          <w:shd w:val="clear" w:color="auto" w:fill="FFFFFF"/>
          <w:vAlign w:val="center"/>
        </w:tcPr>
        <w:p w14:paraId="44455365" w14:textId="77777777" w:rsidR="00847C67" w:rsidRPr="00847C67" w:rsidRDefault="00F4609E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0168D4F6" wp14:editId="2DBE99F1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3825303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329D0FE6" w14:textId="77777777" w:rsidR="00847C67" w:rsidRPr="00682F0B" w:rsidRDefault="00F4609E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64D87B4D" w14:textId="77777777" w:rsidR="00847C67" w:rsidRPr="00682F0B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C6614"/>
    <w:rsid w:val="00174CFA"/>
    <w:rsid w:val="001E781F"/>
    <w:rsid w:val="001F0C50"/>
    <w:rsid w:val="002201FF"/>
    <w:rsid w:val="002212E4"/>
    <w:rsid w:val="00291AEA"/>
    <w:rsid w:val="003775D6"/>
    <w:rsid w:val="004C7DA2"/>
    <w:rsid w:val="005130B3"/>
    <w:rsid w:val="0056063D"/>
    <w:rsid w:val="00583449"/>
    <w:rsid w:val="005B3CFC"/>
    <w:rsid w:val="005F0D17"/>
    <w:rsid w:val="005F6243"/>
    <w:rsid w:val="00610D16"/>
    <w:rsid w:val="006420D6"/>
    <w:rsid w:val="0068086A"/>
    <w:rsid w:val="00682F0B"/>
    <w:rsid w:val="006A4A15"/>
    <w:rsid w:val="006E22D3"/>
    <w:rsid w:val="00716554"/>
    <w:rsid w:val="00817293"/>
    <w:rsid w:val="00847C67"/>
    <w:rsid w:val="0085133C"/>
    <w:rsid w:val="009212D4"/>
    <w:rsid w:val="009519D2"/>
    <w:rsid w:val="00A53073"/>
    <w:rsid w:val="00A71700"/>
    <w:rsid w:val="00B05E6A"/>
    <w:rsid w:val="00B5111A"/>
    <w:rsid w:val="00B66435"/>
    <w:rsid w:val="00B671F2"/>
    <w:rsid w:val="00C76436"/>
    <w:rsid w:val="00C80486"/>
    <w:rsid w:val="00DB0CBB"/>
    <w:rsid w:val="00E42B3E"/>
    <w:rsid w:val="00EF1017"/>
    <w:rsid w:val="00F153E4"/>
    <w:rsid w:val="00F33BE6"/>
    <w:rsid w:val="00F4609E"/>
    <w:rsid w:val="00FC6E57"/>
    <w:rsid w:val="00FD31AD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EEC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57C1-5F73-41BE-899B-5280AA0E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10</cp:revision>
  <dcterms:created xsi:type="dcterms:W3CDTF">2022-01-16T07:37:00Z</dcterms:created>
  <dcterms:modified xsi:type="dcterms:W3CDTF">2022-02-18T18:42:00Z</dcterms:modified>
</cp:coreProperties>
</file>