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FC3F4" w14:textId="77777777" w:rsidR="00847C67" w:rsidRPr="005F0D17" w:rsidRDefault="00847C67" w:rsidP="005F0D17">
      <w:pPr>
        <w:pStyle w:val="a4"/>
        <w:shd w:val="clear" w:color="auto" w:fill="auto"/>
        <w:spacing w:after="3720" w:line="240" w:lineRule="auto"/>
        <w:jc w:val="both"/>
        <w:rPr>
          <w:rFonts w:ascii="Times New Roman" w:eastAsia="Lucida Sans Unicode" w:hAnsi="Times New Roman" w:cs="Times New Roman"/>
          <w:bCs/>
          <w:color w:val="042341"/>
          <w:sz w:val="24"/>
          <w:szCs w:val="24"/>
        </w:rPr>
      </w:pPr>
    </w:p>
    <w:p w14:paraId="2D5D24A2" w14:textId="77777777" w:rsidR="001F0C50" w:rsidRPr="002221F5" w:rsidRDefault="001317BC" w:rsidP="004F4F14">
      <w:pPr>
        <w:pStyle w:val="a4"/>
        <w:shd w:val="clear" w:color="auto" w:fill="auto"/>
        <w:spacing w:after="120"/>
        <w:rPr>
          <w:rFonts w:ascii="Times New Roman" w:hAnsi="Times New Roman" w:cs="Times New Roman"/>
          <w:sz w:val="48"/>
          <w:szCs w:val="48"/>
          <w:lang w:val="ru-RU"/>
        </w:rPr>
      </w:pPr>
      <w:r w:rsidRPr="00CA32C8">
        <w:rPr>
          <w:rFonts w:ascii="Times New Roman" w:eastAsia="Lucida Sans Unicode" w:hAnsi="Times New Roman" w:cs="Times New Roman"/>
          <w:b/>
          <w:bCs/>
          <w:color w:val="042341"/>
          <w:sz w:val="48"/>
          <w:szCs w:val="48"/>
          <w:lang w:val="ru"/>
        </w:rPr>
        <w:t>Процедура 1 Раздела 10 Руководства ICAR — Соответствие транспондеров стандартам ISO</w:t>
      </w:r>
    </w:p>
    <w:p w14:paraId="69532F25" w14:textId="77777777" w:rsidR="005F0D17" w:rsidRPr="002221F5" w:rsidRDefault="005F0D17" w:rsidP="004F4F14">
      <w:pPr>
        <w:pStyle w:val="7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b w:val="0"/>
          <w:bCs w:val="0"/>
          <w:color w:val="042341"/>
          <w:sz w:val="24"/>
          <w:szCs w:val="24"/>
          <w:lang w:val="ru-RU"/>
        </w:rPr>
      </w:pPr>
    </w:p>
    <w:p w14:paraId="3744858B" w14:textId="77777777" w:rsidR="001F0C50" w:rsidRPr="002221F5" w:rsidRDefault="001317BC" w:rsidP="004F4F14">
      <w:pPr>
        <w:pStyle w:val="7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2C6D">
        <w:rPr>
          <w:rFonts w:ascii="Times New Roman" w:hAnsi="Times New Roman" w:cs="Times New Roman"/>
          <w:color w:val="042341"/>
          <w:sz w:val="24"/>
          <w:szCs w:val="24"/>
          <w:lang w:val="ru"/>
        </w:rPr>
        <w:t>Соответствие транспондеров стандартам ISO</w:t>
      </w:r>
    </w:p>
    <w:p w14:paraId="5AC3FCF0" w14:textId="77777777" w:rsidR="001F0C50" w:rsidRPr="002221F5" w:rsidRDefault="001317BC" w:rsidP="004F4F14">
      <w:pPr>
        <w:pStyle w:val="60"/>
        <w:shd w:val="clear" w:color="auto" w:fill="auto"/>
        <w:spacing w:after="60"/>
        <w:ind w:left="0"/>
        <w:rPr>
          <w:rFonts w:ascii="Times New Roman" w:hAnsi="Times New Roman" w:cs="Times New Roman"/>
          <w:color w:val="0082BD"/>
          <w:sz w:val="20"/>
          <w:szCs w:val="20"/>
          <w:lang w:val="ru-RU"/>
        </w:rPr>
      </w:pPr>
      <w:r w:rsidRPr="00CA32C8">
        <w:rPr>
          <w:rFonts w:ascii="Times New Roman" w:hAnsi="Times New Roman" w:cs="Times New Roman"/>
          <w:color w:val="0082BD"/>
          <w:sz w:val="20"/>
          <w:szCs w:val="20"/>
          <w:lang w:val="ru"/>
        </w:rPr>
        <w:t>Дата выпуска версии: февраль 2018 г.</w:t>
      </w:r>
    </w:p>
    <w:p w14:paraId="2BCB5C0E" w14:textId="77777777" w:rsidR="0085133C" w:rsidRPr="002221F5" w:rsidRDefault="001317BC" w:rsidP="004F4F14">
      <w:pPr>
        <w:pStyle w:val="60"/>
        <w:shd w:val="clear" w:color="auto" w:fill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1F5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339748E6" w14:textId="77777777" w:rsidR="001F0C50" w:rsidRPr="005F0D17" w:rsidRDefault="001317BC" w:rsidP="005F0D17">
      <w:pPr>
        <w:pStyle w:val="00"/>
      </w:pPr>
      <w:r w:rsidRPr="005F0D17">
        <w:rPr>
          <w:lang w:val="ru"/>
        </w:rPr>
        <w:lastRenderedPageBreak/>
        <w:t>СОДЕРЖАНИЕ</w:t>
      </w:r>
    </w:p>
    <w:p w14:paraId="4DD461CA" w14:textId="77777777" w:rsidR="005F0D17" w:rsidRPr="005F0D17" w:rsidRDefault="001317BC" w:rsidP="006A4A15">
      <w:pPr>
        <w:pStyle w:val="a4"/>
        <w:shd w:val="clear" w:color="auto" w:fill="auto"/>
        <w:spacing w:after="24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5F0D17">
        <w:rPr>
          <w:rFonts w:ascii="Times New Roman" w:hAnsi="Times New Roman" w:cs="Times New Roman"/>
          <w:noProof/>
          <w:sz w:val="2"/>
          <w:szCs w:val="2"/>
          <w:lang w:val="ru-RU" w:eastAsia="ru-RU" w:bidi="he-IL"/>
        </w:rPr>
        <mc:AlternateContent>
          <mc:Choice Requires="wps">
            <w:drawing>
              <wp:inline distT="0" distB="0" distL="0" distR="0" wp14:anchorId="642ED7E3" wp14:editId="741D025E">
                <wp:extent cx="5760000" cy="0"/>
                <wp:effectExtent l="0" t="0" r="31750" b="19050"/>
                <wp:docPr id="195" name="Прямая соединительная линия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82B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Прямая соединительная линия 195" o:spid="_x0000_i1025" style="mso-left-percent:-10001;mso-position-horizontal-relative:char;mso-position-vertical-relative:line;mso-top-percent:-10001;mso-wrap-style:square;visibility:visible" from="0,0" to="453.55pt,0" strokecolor="#0082bd" strokeweight="1.5pt">
                <v:stroke joinstyle="miter"/>
                <w10:wrap type="none"/>
                <w10:anchorlock/>
              </v:line>
            </w:pict>
          </mc:Fallback>
        </mc:AlternateContent>
      </w:r>
    </w:p>
    <w:p w14:paraId="67B87219" w14:textId="77777777" w:rsidR="00424DC9" w:rsidRPr="002221F5" w:rsidRDefault="001317BC" w:rsidP="00424DC9">
      <w:pPr>
        <w:pStyle w:val="14"/>
        <w:ind w:right="567"/>
        <w:rPr>
          <w:rFonts w:asciiTheme="minorHAnsi" w:eastAsiaTheme="minorEastAsia" w:hAnsiTheme="minorHAnsi" w:cstheme="minorBidi"/>
          <w:b/>
          <w:bCs/>
          <w:noProof/>
          <w:color w:val="auto"/>
          <w:sz w:val="22"/>
          <w:szCs w:val="22"/>
          <w:lang w:val="ru-RU" w:eastAsia="ru-RU" w:bidi="he-IL"/>
        </w:rPr>
      </w:pPr>
      <w:r w:rsidRPr="00B75A2A">
        <w:rPr>
          <w:rFonts w:eastAsia="Arial"/>
          <w:b/>
          <w:bCs/>
          <w:noProof/>
          <w:lang w:val="ru"/>
        </w:rPr>
        <w:t>1</w:t>
      </w:r>
      <w:r w:rsidRPr="00B75A2A">
        <w:rPr>
          <w:rFonts w:eastAsia="Arial"/>
          <w:b/>
          <w:bCs/>
          <w:noProof/>
          <w:lang w:val="ru"/>
        </w:rPr>
        <w:tab/>
        <w:t>Предисловие</w:t>
      </w:r>
      <w:r w:rsidRPr="00B75A2A">
        <w:rPr>
          <w:rFonts w:eastAsia="Arial"/>
          <w:b/>
          <w:bCs/>
          <w:noProof/>
          <w:lang w:val="ru"/>
        </w:rPr>
        <w:tab/>
        <w:t>3</w:t>
      </w:r>
    </w:p>
    <w:p w14:paraId="29FE229E" w14:textId="77777777" w:rsidR="00424DC9" w:rsidRPr="002221F5" w:rsidRDefault="001317BC" w:rsidP="00424DC9">
      <w:pPr>
        <w:pStyle w:val="14"/>
        <w:ind w:right="567"/>
        <w:rPr>
          <w:rFonts w:asciiTheme="minorHAnsi" w:eastAsiaTheme="minorEastAsia" w:hAnsiTheme="minorHAnsi" w:cstheme="minorBidi"/>
          <w:b/>
          <w:bCs/>
          <w:noProof/>
          <w:color w:val="auto"/>
          <w:sz w:val="22"/>
          <w:szCs w:val="22"/>
          <w:lang w:val="ru-RU" w:eastAsia="ru-RU" w:bidi="he-IL"/>
        </w:rPr>
      </w:pPr>
      <w:r w:rsidRPr="00B75A2A">
        <w:rPr>
          <w:rFonts w:eastAsia="Arial"/>
          <w:b/>
          <w:bCs/>
          <w:noProof/>
          <w:lang w:val="ru"/>
        </w:rPr>
        <w:t>2</w:t>
      </w:r>
      <w:r w:rsidRPr="00B75A2A">
        <w:rPr>
          <w:rFonts w:eastAsia="Arial"/>
          <w:b/>
          <w:bCs/>
          <w:noProof/>
          <w:lang w:val="ru"/>
        </w:rPr>
        <w:tab/>
        <w:t>Введение</w:t>
      </w:r>
      <w:r w:rsidRPr="00B75A2A">
        <w:rPr>
          <w:rFonts w:eastAsia="Arial"/>
          <w:b/>
          <w:bCs/>
          <w:noProof/>
          <w:lang w:val="ru"/>
        </w:rPr>
        <w:tab/>
        <w:t>3</w:t>
      </w:r>
    </w:p>
    <w:p w14:paraId="1582D2B4" w14:textId="77777777" w:rsidR="00424DC9" w:rsidRPr="002221F5" w:rsidRDefault="001317BC" w:rsidP="00424DC9">
      <w:pPr>
        <w:pStyle w:val="14"/>
        <w:ind w:right="567"/>
        <w:rPr>
          <w:rFonts w:asciiTheme="minorHAnsi" w:eastAsiaTheme="minorEastAsia" w:hAnsiTheme="minorHAnsi" w:cstheme="minorBidi"/>
          <w:b/>
          <w:bCs/>
          <w:noProof/>
          <w:color w:val="auto"/>
          <w:sz w:val="22"/>
          <w:szCs w:val="22"/>
          <w:lang w:val="ru-RU" w:eastAsia="ru-RU" w:bidi="he-IL"/>
        </w:rPr>
      </w:pPr>
      <w:r w:rsidRPr="00B75A2A">
        <w:rPr>
          <w:rFonts w:eastAsia="Arial"/>
          <w:b/>
          <w:bCs/>
          <w:noProof/>
          <w:lang w:val="ru"/>
        </w:rPr>
        <w:t>3</w:t>
      </w:r>
      <w:r w:rsidRPr="00B75A2A">
        <w:rPr>
          <w:rFonts w:eastAsia="Arial"/>
          <w:b/>
          <w:bCs/>
          <w:noProof/>
          <w:lang w:val="ru"/>
        </w:rPr>
        <w:tab/>
        <w:t>Библиография</w:t>
      </w:r>
      <w:r w:rsidRPr="00B75A2A">
        <w:rPr>
          <w:rFonts w:eastAsia="Arial"/>
          <w:b/>
          <w:bCs/>
          <w:noProof/>
          <w:lang w:val="ru"/>
        </w:rPr>
        <w:tab/>
        <w:t>3</w:t>
      </w:r>
    </w:p>
    <w:p w14:paraId="56DA0BEC" w14:textId="77777777" w:rsidR="00424DC9" w:rsidRPr="002221F5" w:rsidRDefault="001317BC" w:rsidP="00424DC9">
      <w:pPr>
        <w:pStyle w:val="14"/>
        <w:ind w:right="567"/>
        <w:rPr>
          <w:rFonts w:asciiTheme="minorHAnsi" w:eastAsiaTheme="minorEastAsia" w:hAnsiTheme="minorHAnsi" w:cstheme="minorBidi"/>
          <w:b/>
          <w:bCs/>
          <w:noProof/>
          <w:color w:val="auto"/>
          <w:sz w:val="22"/>
          <w:szCs w:val="22"/>
          <w:lang w:val="ru-RU" w:eastAsia="ru-RU" w:bidi="he-IL"/>
        </w:rPr>
      </w:pPr>
      <w:r w:rsidRPr="00B75A2A">
        <w:rPr>
          <w:rFonts w:eastAsia="Georgia"/>
          <w:b/>
          <w:bCs/>
          <w:noProof/>
          <w:lang w:val="ru"/>
        </w:rPr>
        <w:t>4</w:t>
      </w:r>
      <w:r w:rsidRPr="00B75A2A">
        <w:rPr>
          <w:rFonts w:eastAsia="Georgia"/>
          <w:b/>
          <w:bCs/>
          <w:noProof/>
          <w:lang w:val="ru"/>
        </w:rPr>
        <w:tab/>
        <w:t xml:space="preserve">Процедуры проверки </w:t>
      </w:r>
      <w:r w:rsidRPr="00B75A2A">
        <w:rPr>
          <w:rFonts w:eastAsia="Georgia"/>
          <w:b/>
          <w:bCs/>
          <w:noProof/>
          <w:lang w:val="ru"/>
        </w:rPr>
        <w:t>транспондеров на соответствие ISO</w:t>
      </w:r>
      <w:r w:rsidRPr="00B75A2A">
        <w:rPr>
          <w:rFonts w:eastAsia="Georgia"/>
          <w:b/>
          <w:bCs/>
          <w:noProof/>
          <w:lang w:val="ru"/>
        </w:rPr>
        <w:tab/>
        <w:t>3</w:t>
      </w:r>
    </w:p>
    <w:p w14:paraId="06082FFC" w14:textId="77777777" w:rsidR="00424DC9" w:rsidRPr="002221F5" w:rsidRDefault="001317BC" w:rsidP="00424DC9">
      <w:pPr>
        <w:pStyle w:val="2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he-IL"/>
        </w:rPr>
      </w:pPr>
      <w:r w:rsidRPr="00B75A2A">
        <w:rPr>
          <w:rFonts w:eastAsia="Georgia"/>
          <w:noProof/>
          <w:lang w:val="ru"/>
        </w:rPr>
        <w:t>4.1</w:t>
      </w:r>
      <w:r w:rsidRPr="00B75A2A">
        <w:rPr>
          <w:rFonts w:eastAsia="Georgia"/>
          <w:noProof/>
          <w:lang w:val="ru"/>
        </w:rPr>
        <w:tab/>
        <w:t>Подача заявки</w:t>
      </w:r>
      <w:r w:rsidRPr="00B75A2A">
        <w:rPr>
          <w:rFonts w:eastAsia="Georgia"/>
          <w:noProof/>
          <w:lang w:val="ru"/>
        </w:rPr>
        <w:tab/>
        <w:t>3</w:t>
      </w:r>
    </w:p>
    <w:p w14:paraId="03258275" w14:textId="77777777" w:rsidR="00424DC9" w:rsidRPr="002221F5" w:rsidRDefault="001317BC" w:rsidP="00424DC9">
      <w:pPr>
        <w:pStyle w:val="2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he-IL"/>
        </w:rPr>
      </w:pPr>
      <w:r w:rsidRPr="00B75A2A">
        <w:rPr>
          <w:rFonts w:eastAsia="Arial"/>
          <w:noProof/>
          <w:lang w:val="ru"/>
        </w:rPr>
        <w:t>4.2</w:t>
      </w:r>
      <w:r w:rsidRPr="00B75A2A">
        <w:rPr>
          <w:rFonts w:eastAsia="Arial"/>
          <w:noProof/>
          <w:lang w:val="ru"/>
        </w:rPr>
        <w:tab/>
        <w:t>Условия на право использования сертификата ICAR для транспондеров (проверка соответствия)</w:t>
      </w:r>
      <w:r w:rsidRPr="00B75A2A">
        <w:rPr>
          <w:rFonts w:eastAsia="Arial"/>
          <w:noProof/>
          <w:lang w:val="ru"/>
        </w:rPr>
        <w:tab/>
        <w:t>5</w:t>
      </w:r>
    </w:p>
    <w:p w14:paraId="510A86EA" w14:textId="77777777" w:rsidR="004C7DA2" w:rsidRPr="002221F5" w:rsidRDefault="004C7DA2" w:rsidP="003F2C6D">
      <w:pPr>
        <w:spacing w:after="360"/>
        <w:ind w:right="567"/>
        <w:rPr>
          <w:lang w:val="ru-RU"/>
        </w:rPr>
      </w:pPr>
    </w:p>
    <w:p w14:paraId="1BE692A2" w14:textId="77777777" w:rsidR="0056063D" w:rsidRPr="00847C67" w:rsidRDefault="001317BC" w:rsidP="00A00221">
      <w:pPr>
        <w:pStyle w:val="00"/>
      </w:pPr>
      <w:r w:rsidRPr="0056063D">
        <w:rPr>
          <w:lang w:val="ru"/>
        </w:rPr>
        <w:t>Сводка изменений</w:t>
      </w:r>
    </w:p>
    <w:p w14:paraId="7794103D" w14:textId="77777777" w:rsidR="0056063D" w:rsidRPr="005F0D17" w:rsidRDefault="001317BC" w:rsidP="00871291">
      <w:pPr>
        <w:pStyle w:val="a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5F0D17">
        <w:rPr>
          <w:rFonts w:ascii="Times New Roman" w:hAnsi="Times New Roman" w:cs="Times New Roman"/>
          <w:noProof/>
          <w:sz w:val="2"/>
          <w:szCs w:val="2"/>
          <w:lang w:val="ru-RU" w:eastAsia="ru-RU" w:bidi="he-IL"/>
        </w:rPr>
        <mc:AlternateContent>
          <mc:Choice Requires="wps">
            <w:drawing>
              <wp:inline distT="0" distB="0" distL="0" distR="0" wp14:anchorId="17F0C75D" wp14:editId="0B1CEDF7">
                <wp:extent cx="5760000" cy="0"/>
                <wp:effectExtent l="0" t="0" r="31750" b="19050"/>
                <wp:docPr id="196" name="Прямая соединительная линия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2B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Прямая соединительная линия 196" o:spid="_x0000_i1026" style="mso-left-percent:-10001;mso-position-horizontal-relative:char;mso-position-vertical-relative:line;mso-top-percent:-10001;mso-wrap-style:square;visibility:visible" from="0,0" to="453.55pt,0" strokecolor="#0082bd" strokeweight="1.5pt">
                <v:stroke joinstyle="miter"/>
                <w10:wrap type="none"/>
                <w10:anchorlock/>
              </v:line>
            </w:pict>
          </mc:Fallback>
        </mc:AlternateContent>
      </w:r>
    </w:p>
    <w:p w14:paraId="063FE7A1" w14:textId="77777777" w:rsidR="001F0C50" w:rsidRPr="00847C67" w:rsidRDefault="001F0C50" w:rsidP="00B05E6A">
      <w:pPr>
        <w:pStyle w:val="a4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7092"/>
      </w:tblGrid>
      <w:tr w:rsidR="007628C7" w14:paraId="6E95D0D6" w14:textId="77777777" w:rsidTr="002221F5">
        <w:trPr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5BB84" w14:textId="77777777" w:rsidR="001F0C50" w:rsidRPr="00153F09" w:rsidRDefault="001317BC" w:rsidP="00153F09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153F09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"/>
              </w:rPr>
              <w:t>Дата изменения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17A15A" w14:textId="77777777" w:rsidR="001F0C50" w:rsidRPr="00153F09" w:rsidRDefault="001317BC" w:rsidP="00153F09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153F09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"/>
              </w:rPr>
              <w:t>Характер изменения</w:t>
            </w:r>
          </w:p>
        </w:tc>
      </w:tr>
      <w:tr w:rsidR="007628C7" w:rsidRPr="002221F5" w14:paraId="5B92DDB7" w14:textId="77777777" w:rsidTr="002221F5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9851A" w14:textId="77777777" w:rsidR="001F0C50" w:rsidRPr="00153F09" w:rsidRDefault="001317BC" w:rsidP="00153F09">
            <w:pPr>
              <w:pStyle w:val="a4"/>
              <w:shd w:val="clear" w:color="auto" w:fill="auto"/>
              <w:spacing w:before="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3F09">
              <w:rPr>
                <w:rFonts w:ascii="Times New Roman" w:hAnsi="Times New Roman" w:cs="Times New Roman"/>
                <w:sz w:val="24"/>
                <w:szCs w:val="28"/>
                <w:lang w:val="ru"/>
              </w:rPr>
              <w:t>Август 2017 г.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F3E487" w14:textId="77777777" w:rsidR="001F0C50" w:rsidRPr="002221F5" w:rsidRDefault="001317BC" w:rsidP="00153F09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53F09">
              <w:rPr>
                <w:rFonts w:ascii="Times New Roman" w:hAnsi="Times New Roman" w:cs="Times New Roman"/>
                <w:sz w:val="24"/>
                <w:szCs w:val="28"/>
                <w:lang w:val="ru"/>
              </w:rPr>
              <w:t xml:space="preserve">Название процедуры </w:t>
            </w:r>
            <w:r w:rsidRPr="00153F09">
              <w:rPr>
                <w:rFonts w:ascii="Times New Roman" w:hAnsi="Times New Roman" w:cs="Times New Roman"/>
                <w:sz w:val="24"/>
                <w:szCs w:val="28"/>
                <w:lang w:val="ru"/>
              </w:rPr>
              <w:t>изменено на «Соответствие транспондеров стандартам ISO».</w:t>
            </w:r>
          </w:p>
        </w:tc>
      </w:tr>
      <w:tr w:rsidR="007628C7" w:rsidRPr="002221F5" w14:paraId="04D7A9CE" w14:textId="77777777" w:rsidTr="002221F5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50AB0B" w14:textId="77777777" w:rsidR="001F0C50" w:rsidRPr="00153F09" w:rsidRDefault="001317BC" w:rsidP="00153F09">
            <w:pPr>
              <w:pStyle w:val="a4"/>
              <w:shd w:val="clear" w:color="auto" w:fill="auto"/>
              <w:spacing w:before="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3F09">
              <w:rPr>
                <w:rFonts w:ascii="Times New Roman" w:hAnsi="Times New Roman" w:cs="Times New Roman"/>
                <w:sz w:val="24"/>
                <w:szCs w:val="28"/>
                <w:lang w:val="ru"/>
              </w:rPr>
              <w:t>Август 2017 г.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E9E9D" w14:textId="77777777" w:rsidR="001F0C50" w:rsidRPr="002221F5" w:rsidRDefault="001317BC" w:rsidP="00153F09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53F09">
              <w:rPr>
                <w:rFonts w:ascii="Times New Roman" w:hAnsi="Times New Roman" w:cs="Times New Roman"/>
                <w:sz w:val="24"/>
                <w:szCs w:val="28"/>
                <w:lang w:val="ru"/>
              </w:rPr>
              <w:t>Добавлено уточнение о запрете на смешивание технологий в рамках одной партии представленных образцов (раздел 4)</w:t>
            </w:r>
          </w:p>
        </w:tc>
      </w:tr>
      <w:tr w:rsidR="007628C7" w14:paraId="6CB98F4D" w14:textId="77777777" w:rsidTr="002221F5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9A0339" w14:textId="77777777" w:rsidR="001F0C50" w:rsidRPr="00153F09" w:rsidRDefault="001317BC" w:rsidP="00153F09">
            <w:pPr>
              <w:pStyle w:val="a4"/>
              <w:shd w:val="clear" w:color="auto" w:fill="auto"/>
              <w:spacing w:before="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3F09">
              <w:rPr>
                <w:rFonts w:ascii="Times New Roman" w:hAnsi="Times New Roman" w:cs="Times New Roman"/>
                <w:sz w:val="24"/>
                <w:szCs w:val="28"/>
                <w:lang w:val="ru"/>
              </w:rPr>
              <w:t>Сентябрь 2017 г.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A952D" w14:textId="77777777" w:rsidR="001F0C50" w:rsidRPr="00153F09" w:rsidRDefault="001317BC" w:rsidP="00153F09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153F09">
              <w:rPr>
                <w:rFonts w:ascii="Times New Roman" w:hAnsi="Times New Roman" w:cs="Times New Roman"/>
                <w:sz w:val="24"/>
                <w:szCs w:val="28"/>
                <w:lang w:val="ru"/>
              </w:rPr>
              <w:t>Применен шаблон, унифицированы ссылки.</w:t>
            </w:r>
          </w:p>
        </w:tc>
      </w:tr>
      <w:tr w:rsidR="007628C7" w:rsidRPr="002221F5" w14:paraId="3D6B1810" w14:textId="77777777" w:rsidTr="002221F5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BB6068" w14:textId="77777777" w:rsidR="001F0C50" w:rsidRPr="00153F09" w:rsidRDefault="001317BC" w:rsidP="00153F09">
            <w:pPr>
              <w:pStyle w:val="a4"/>
              <w:shd w:val="clear" w:color="auto" w:fill="auto"/>
              <w:spacing w:before="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3F09">
              <w:rPr>
                <w:rFonts w:ascii="Times New Roman" w:hAnsi="Times New Roman" w:cs="Times New Roman"/>
                <w:sz w:val="24"/>
                <w:szCs w:val="28"/>
                <w:lang w:val="ru"/>
              </w:rPr>
              <w:t>Октябрь 2017 г.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6E2AC2" w14:textId="77777777" w:rsidR="001F0C50" w:rsidRPr="002221F5" w:rsidRDefault="001317BC" w:rsidP="00153F09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53F09">
              <w:rPr>
                <w:rFonts w:ascii="Times New Roman" w:hAnsi="Times New Roman" w:cs="Times New Roman"/>
                <w:sz w:val="24"/>
                <w:szCs w:val="28"/>
                <w:lang w:val="ru"/>
              </w:rPr>
              <w:t>Версия обновлена по состоянию на октябрь. Исправлены перекрестные ссылки. Мелкие правки в заголовках разделов.</w:t>
            </w:r>
          </w:p>
        </w:tc>
      </w:tr>
      <w:tr w:rsidR="007628C7" w:rsidRPr="002221F5" w14:paraId="6AAE5EF5" w14:textId="77777777" w:rsidTr="002221F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86F182" w14:textId="77777777" w:rsidR="001F0C50" w:rsidRPr="00153F09" w:rsidRDefault="001317BC" w:rsidP="00153F09">
            <w:pPr>
              <w:pStyle w:val="a4"/>
              <w:shd w:val="clear" w:color="auto" w:fill="auto"/>
              <w:spacing w:before="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3F09">
              <w:rPr>
                <w:rFonts w:ascii="Times New Roman" w:hAnsi="Times New Roman" w:cs="Times New Roman"/>
                <w:sz w:val="24"/>
                <w:szCs w:val="28"/>
                <w:lang w:val="ru"/>
              </w:rPr>
              <w:t>Февраль 2018 г.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BDDF1" w14:textId="77777777" w:rsidR="001F0C50" w:rsidRPr="002221F5" w:rsidRDefault="001317BC" w:rsidP="00153F09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53F09">
              <w:rPr>
                <w:rFonts w:ascii="Times New Roman" w:hAnsi="Times New Roman" w:cs="Times New Roman"/>
                <w:sz w:val="24"/>
                <w:szCs w:val="28"/>
                <w:lang w:val="ru"/>
              </w:rPr>
              <w:t>В субботу, 10 февраля, изменения были одобрены Генеральной Ассамблеей ICAR в Окленде (Новая Зеландия).</w:t>
            </w:r>
          </w:p>
        </w:tc>
      </w:tr>
    </w:tbl>
    <w:p w14:paraId="3E7DD93C" w14:textId="77777777" w:rsidR="00817293" w:rsidRPr="002221F5" w:rsidRDefault="001317BC" w:rsidP="00817293">
      <w:pPr>
        <w:spacing w:after="120"/>
        <w:jc w:val="both"/>
        <w:rPr>
          <w:lang w:val="ru-RU"/>
        </w:rPr>
      </w:pPr>
      <w:bookmarkStart w:id="0" w:name="bookmark1351"/>
      <w:bookmarkStart w:id="1" w:name="bookmark1350"/>
      <w:r w:rsidRPr="002221F5">
        <w:rPr>
          <w:lang w:val="ru-RU"/>
        </w:rPr>
        <w:br w:type="page"/>
      </w:r>
    </w:p>
    <w:p w14:paraId="7D03B2C7" w14:textId="77777777" w:rsidR="001F0C50" w:rsidRPr="002221F5" w:rsidRDefault="001317BC" w:rsidP="00153F09">
      <w:pPr>
        <w:pStyle w:val="110"/>
        <w:rPr>
          <w:lang w:val="ru-RU"/>
        </w:rPr>
      </w:pPr>
      <w:bookmarkStart w:id="2" w:name="_Toc93299076"/>
      <w:r w:rsidRPr="00847C67">
        <w:rPr>
          <w:lang w:val="ru"/>
        </w:rPr>
        <w:lastRenderedPageBreak/>
        <w:t>1</w:t>
      </w:r>
      <w:r w:rsidRPr="00847C67">
        <w:rPr>
          <w:lang w:val="ru"/>
        </w:rPr>
        <w:tab/>
      </w:r>
      <w:r w:rsidRPr="00847C67">
        <w:rPr>
          <w:lang w:val="ru"/>
        </w:rPr>
        <w:t>Предисловие</w:t>
      </w:r>
      <w:bookmarkEnd w:id="0"/>
      <w:bookmarkEnd w:id="1"/>
      <w:bookmarkEnd w:id="2"/>
    </w:p>
    <w:p w14:paraId="11EE7049" w14:textId="77777777" w:rsidR="001F0C50" w:rsidRPr="002221F5" w:rsidRDefault="001317BC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ookmark1352"/>
      <w:r w:rsidRPr="00847C67">
        <w:rPr>
          <w:rFonts w:ascii="Times New Roman" w:hAnsi="Times New Roman" w:cs="Times New Roman"/>
          <w:sz w:val="24"/>
          <w:szCs w:val="24"/>
          <w:lang w:val="ru"/>
        </w:rPr>
        <w:t>ISO 11785 определяет протоколы испытаний для оценки и проверки соответствия и рабочих характеристик RFID-устройств, а ISO 11784 — структуру кода. Признаются только те результаты, которые представлены аккредитованными и одобренными РО испытатель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ными центрами.</w:t>
      </w:r>
      <w:bookmarkEnd w:id="3"/>
    </w:p>
    <w:p w14:paraId="03565AE5" w14:textId="77777777" w:rsidR="001F0C50" w:rsidRPr="002221F5" w:rsidRDefault="001317BC" w:rsidP="00153F09">
      <w:pPr>
        <w:pStyle w:val="110"/>
        <w:rPr>
          <w:lang w:val="ru-RU"/>
        </w:rPr>
      </w:pPr>
      <w:bookmarkStart w:id="4" w:name="bookmark1353"/>
      <w:bookmarkStart w:id="5" w:name="_Toc93299077"/>
      <w:r w:rsidRPr="00847C67">
        <w:rPr>
          <w:lang w:val="ru"/>
        </w:rPr>
        <w:t>2</w:t>
      </w:r>
      <w:r w:rsidRPr="00847C67">
        <w:rPr>
          <w:lang w:val="ru"/>
        </w:rPr>
        <w:tab/>
        <w:t>Введение</w:t>
      </w:r>
      <w:bookmarkEnd w:id="4"/>
      <w:bookmarkEnd w:id="5"/>
    </w:p>
    <w:p w14:paraId="22E9A36A" w14:textId="77777777" w:rsidR="001F0C50" w:rsidRPr="002221F5" w:rsidRDefault="001317BC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ISO 11784 и ISO 11785 охватывают четыре типа RFID-устройств, используемых для идентификации животных:</w:t>
      </w:r>
    </w:p>
    <w:p w14:paraId="782ED107" w14:textId="77777777" w:rsidR="001F0C50" w:rsidRPr="002221F5" w:rsidRDefault="001317B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 xml:space="preserve">Инъекционные: небольшой транспондер, который можно вводить в тело животного. Транспондер помещен в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биосовместимый и непористый материал, например стекло.</w:t>
      </w:r>
    </w:p>
    <w:p w14:paraId="3715EA3C" w14:textId="77777777" w:rsidR="001F0C50" w:rsidRPr="002221F5" w:rsidRDefault="001317B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Ушная бирка: транспондер в пластиковой оболочке, прикрепляемый к уху животного с помощью фиксатора, который препятствует снятию устройства, не повреждая его и не делая его непригодным для использова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ния.</w:t>
      </w:r>
    </w:p>
    <w:p w14:paraId="5EC7E0D4" w14:textId="77777777" w:rsidR="001F0C50" w:rsidRPr="002221F5" w:rsidRDefault="001317B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Желудочный зонд: транспондер, помещенный в контейнер с высоким удельным весом, вводится жвачному животному перорально, при этом устройство остается в желудке животного ввиду своего высокого удельного веса, препятствующего его прохождению через пище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варительную систему животного.</w:t>
      </w:r>
    </w:p>
    <w:p w14:paraId="35090779" w14:textId="77777777" w:rsidR="001F0C50" w:rsidRPr="002221F5" w:rsidRDefault="001317B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d.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Крепление для бирки: транспондер, покрытый первичным защитным слоем, но не имеющий собственного фиксатора и используемый только в качестве крепления к визуальной ушной бирке или к другому средству внешней идентификации жив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отного, например, к ножной бирке, ошейнику и т. д.</w:t>
      </w:r>
    </w:p>
    <w:p w14:paraId="36707A5C" w14:textId="77777777" w:rsidR="001F0C50" w:rsidRPr="002221F5" w:rsidRDefault="001317BC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Испытания, проводимые ICAR в качестве РО, признаны Европейской Ассоциацией ветеринарных врачей (FECAVA) и Всемирной ассоциацией ветеринарии мелких животных (WSAVA) и, как таковые, могут также применяться в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отношении устройств для домашних животных.</w:t>
      </w:r>
    </w:p>
    <w:p w14:paraId="1412E741" w14:textId="77777777" w:rsidR="001F0C50" w:rsidRPr="002221F5" w:rsidRDefault="001317BC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ookmark1354"/>
      <w:r w:rsidRPr="00847C67">
        <w:rPr>
          <w:rFonts w:ascii="Times New Roman" w:hAnsi="Times New Roman" w:cs="Times New Roman"/>
          <w:sz w:val="24"/>
          <w:szCs w:val="24"/>
          <w:lang w:val="ru"/>
        </w:rPr>
        <w:t>Плата за все испытания оплачивается заявителем.</w:t>
      </w:r>
      <w:bookmarkEnd w:id="6"/>
    </w:p>
    <w:p w14:paraId="343E5532" w14:textId="77777777" w:rsidR="001F0C50" w:rsidRPr="00847C67" w:rsidRDefault="001317BC" w:rsidP="00153F09">
      <w:pPr>
        <w:pStyle w:val="110"/>
      </w:pPr>
      <w:bookmarkStart w:id="7" w:name="bookmark1355"/>
      <w:bookmarkStart w:id="8" w:name="_Toc93299078"/>
      <w:r w:rsidRPr="002221F5">
        <w:t>3</w:t>
      </w:r>
      <w:r w:rsidRPr="002221F5">
        <w:tab/>
      </w:r>
      <w:r w:rsidRPr="00847C67">
        <w:rPr>
          <w:lang w:val="ru"/>
        </w:rPr>
        <w:t>Библиография</w:t>
      </w:r>
      <w:bookmarkEnd w:id="7"/>
      <w:bookmarkEnd w:id="8"/>
    </w:p>
    <w:p w14:paraId="56573BED" w14:textId="77777777" w:rsidR="001F0C50" w:rsidRPr="00847C67" w:rsidRDefault="001317BC" w:rsidP="00153F09">
      <w:pPr>
        <w:pStyle w:val="13"/>
        <w:shd w:val="clear" w:color="auto" w:fill="auto"/>
        <w:spacing w:after="12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2221F5">
        <w:rPr>
          <w:rFonts w:ascii="Times New Roman" w:hAnsi="Times New Roman" w:cs="Times New Roman"/>
          <w:sz w:val="24"/>
          <w:szCs w:val="24"/>
        </w:rPr>
        <w:t>ISO 11784</w:t>
      </w:r>
      <w:r w:rsidRPr="002221F5">
        <w:rPr>
          <w:rFonts w:ascii="Times New Roman" w:hAnsi="Times New Roman" w:cs="Times New Roman"/>
          <w:sz w:val="24"/>
          <w:szCs w:val="24"/>
        </w:rPr>
        <w:tab/>
        <w:t>Agricultural equipment - Radio frequency identification of animals - Code structure</w:t>
      </w:r>
    </w:p>
    <w:p w14:paraId="6BA2C7FD" w14:textId="77777777" w:rsidR="001F0C50" w:rsidRPr="00847C67" w:rsidRDefault="001317BC" w:rsidP="00153F09">
      <w:pPr>
        <w:pStyle w:val="13"/>
        <w:shd w:val="clear" w:color="auto" w:fill="auto"/>
        <w:spacing w:after="12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2221F5">
        <w:rPr>
          <w:rFonts w:ascii="Times New Roman" w:hAnsi="Times New Roman" w:cs="Times New Roman"/>
          <w:sz w:val="24"/>
          <w:szCs w:val="24"/>
        </w:rPr>
        <w:t>ISO 11785</w:t>
      </w:r>
      <w:r w:rsidRPr="002221F5">
        <w:rPr>
          <w:rFonts w:ascii="Times New Roman" w:hAnsi="Times New Roman" w:cs="Times New Roman"/>
          <w:sz w:val="24"/>
          <w:szCs w:val="24"/>
        </w:rPr>
        <w:tab/>
        <w:t xml:space="preserve">Agricultural equipment - Radio </w:t>
      </w:r>
      <w:r w:rsidRPr="002221F5">
        <w:rPr>
          <w:rFonts w:ascii="Times New Roman" w:hAnsi="Times New Roman" w:cs="Times New Roman"/>
          <w:sz w:val="24"/>
          <w:szCs w:val="24"/>
        </w:rPr>
        <w:t>frequency identification of animals - Technical concept</w:t>
      </w:r>
    </w:p>
    <w:p w14:paraId="5EDF2D65" w14:textId="77777777" w:rsidR="001F0C50" w:rsidRPr="002221F5" w:rsidRDefault="001317BC" w:rsidP="00153F09">
      <w:pPr>
        <w:pStyle w:val="13"/>
        <w:shd w:val="clear" w:color="auto" w:fill="auto"/>
        <w:spacing w:after="12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ISO 3166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Коды для представления названий стран и единиц их административно-территориального деления</w:t>
      </w:r>
    </w:p>
    <w:p w14:paraId="32DD5887" w14:textId="77777777" w:rsidR="001F0C50" w:rsidRPr="002221F5" w:rsidRDefault="001317BC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ookmark1356"/>
      <w:r w:rsidRPr="00847C67">
        <w:rPr>
          <w:rFonts w:ascii="Times New Roman" w:hAnsi="Times New Roman" w:cs="Times New Roman"/>
          <w:sz w:val="24"/>
          <w:szCs w:val="24"/>
          <w:lang w:val="ru"/>
        </w:rPr>
        <w:t>Всегда применяется последняя версия стандартов ISO; эти стандарты можно загрузить с веб-сайта ISO (w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ww.iso.org).</w:t>
      </w:r>
      <w:bookmarkEnd w:id="9"/>
    </w:p>
    <w:p w14:paraId="709A0EE7" w14:textId="77777777" w:rsidR="001F0C50" w:rsidRPr="002221F5" w:rsidRDefault="001317BC" w:rsidP="00153F09">
      <w:pPr>
        <w:pStyle w:val="110"/>
        <w:rPr>
          <w:lang w:val="ru-RU"/>
        </w:rPr>
      </w:pPr>
      <w:bookmarkStart w:id="10" w:name="bookmark1357"/>
      <w:bookmarkStart w:id="11" w:name="_Toc93299079"/>
      <w:r w:rsidRPr="00847C67">
        <w:rPr>
          <w:rFonts w:eastAsia="Georgia"/>
          <w:lang w:val="ru"/>
        </w:rPr>
        <w:lastRenderedPageBreak/>
        <w:t>4</w:t>
      </w:r>
      <w:r w:rsidRPr="00847C67">
        <w:rPr>
          <w:rFonts w:eastAsia="Georgia"/>
          <w:lang w:val="ru"/>
        </w:rPr>
        <w:tab/>
        <w:t>Процедуры проверки транспондеров на соответствие ISO</w:t>
      </w:r>
      <w:bookmarkEnd w:id="10"/>
      <w:bookmarkEnd w:id="11"/>
    </w:p>
    <w:p w14:paraId="613AA848" w14:textId="77777777" w:rsidR="001F0C50" w:rsidRPr="002221F5" w:rsidRDefault="001317BC" w:rsidP="00153F09">
      <w:pPr>
        <w:pStyle w:val="120"/>
        <w:rPr>
          <w:lang w:val="ru-RU"/>
        </w:rPr>
      </w:pPr>
      <w:bookmarkStart w:id="12" w:name="bookmark1359"/>
      <w:bookmarkStart w:id="13" w:name="bookmark1358"/>
      <w:bookmarkStart w:id="14" w:name="_Toc93299080"/>
      <w:r w:rsidRPr="00847C67">
        <w:rPr>
          <w:rFonts w:eastAsia="Georgia"/>
          <w:lang w:val="ru"/>
        </w:rPr>
        <w:t>4.1</w:t>
      </w:r>
      <w:r w:rsidRPr="00847C67">
        <w:rPr>
          <w:rFonts w:eastAsia="Georgia"/>
          <w:lang w:val="ru"/>
        </w:rPr>
        <w:tab/>
        <w:t>Подача заявки</w:t>
      </w:r>
      <w:bookmarkEnd w:id="12"/>
      <w:bookmarkEnd w:id="13"/>
      <w:bookmarkEnd w:id="14"/>
    </w:p>
    <w:p w14:paraId="2256AF72" w14:textId="77777777" w:rsidR="001F0C50" w:rsidRPr="002221F5" w:rsidRDefault="001317BC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Производитель может подать заявку на:</w:t>
      </w:r>
    </w:p>
    <w:p w14:paraId="7295615B" w14:textId="77777777" w:rsidR="001F0C50" w:rsidRPr="002221F5" w:rsidRDefault="001317B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Полное испытание; или</w:t>
      </w:r>
    </w:p>
    <w:p w14:paraId="67C4E20F" w14:textId="77777777" w:rsidR="001F0C50" w:rsidRPr="002221F5" w:rsidRDefault="001317B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Ограниченное испытание; или</w:t>
      </w:r>
    </w:p>
    <w:p w14:paraId="072138FD" w14:textId="77777777" w:rsidR="00817293" w:rsidRPr="002221F5" w:rsidRDefault="001317B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Обновление регистрации.</w:t>
      </w:r>
    </w:p>
    <w:p w14:paraId="2093E5BA" w14:textId="77777777" w:rsidR="001F0C50" w:rsidRPr="002221F5" w:rsidRDefault="001317BC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1F5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64E0E3AA" w14:textId="77777777" w:rsidR="001F0C50" w:rsidRPr="002221F5" w:rsidRDefault="001317BC" w:rsidP="00153F09">
      <w:pPr>
        <w:pStyle w:val="13"/>
        <w:shd w:val="clear" w:color="auto" w:fill="auto"/>
        <w:spacing w:after="12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/>
          <w:bCs/>
          <w:sz w:val="24"/>
          <w:szCs w:val="24"/>
          <w:lang w:val="ru"/>
        </w:rPr>
        <w:lastRenderedPageBreak/>
        <w:t>A.</w:t>
      </w:r>
      <w:r w:rsidRPr="00847C67">
        <w:rPr>
          <w:rFonts w:ascii="Times New Roman" w:hAnsi="Times New Roman" w:cs="Times New Roman"/>
          <w:b/>
          <w:bCs/>
          <w:sz w:val="24"/>
          <w:szCs w:val="24"/>
          <w:lang w:val="ru"/>
        </w:rPr>
        <w:tab/>
        <w:t xml:space="preserve">Полное испытание является </w:t>
      </w:r>
      <w:r w:rsidRPr="00847C67">
        <w:rPr>
          <w:rFonts w:ascii="Times New Roman" w:hAnsi="Times New Roman" w:cs="Times New Roman"/>
          <w:b/>
          <w:bCs/>
          <w:sz w:val="24"/>
          <w:szCs w:val="24"/>
          <w:lang w:val="ru"/>
        </w:rPr>
        <w:t>обязательным в следующих случаях:</w:t>
      </w:r>
    </w:p>
    <w:p w14:paraId="228ADB75" w14:textId="77777777" w:rsidR="001F0C50" w:rsidRPr="002221F5" w:rsidRDefault="001317B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Когда производитель, не зарегистрированный в РО, подает заявку на испытание.</w:t>
      </w:r>
    </w:p>
    <w:p w14:paraId="4411E428" w14:textId="77777777" w:rsidR="001F0C50" w:rsidRPr="002221F5" w:rsidRDefault="001317B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Когда производитель, зарегистрированный в РО, использует новый кремниевый чип (интегральную схему) или реализует в транспондере новую техно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логию (HDX или FDX-B);</w:t>
      </w:r>
    </w:p>
    <w:p w14:paraId="7D6AA566" w14:textId="77777777" w:rsidR="001F0C50" w:rsidRPr="002221F5" w:rsidRDefault="001317B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Когда производитель, зарегистрированный в РО, меняет технологию катушки (ферритовые катушки вместо воздушных).</w:t>
      </w:r>
    </w:p>
    <w:p w14:paraId="7F583635" w14:textId="77777777" w:rsidR="001F0C50" w:rsidRPr="002221F5" w:rsidRDefault="001317BC" w:rsidP="00153F09">
      <w:pPr>
        <w:pStyle w:val="13"/>
        <w:shd w:val="clear" w:color="auto" w:fill="auto"/>
        <w:spacing w:after="12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/>
          <w:bCs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b/>
          <w:bCs/>
          <w:sz w:val="24"/>
          <w:szCs w:val="24"/>
          <w:lang w:val="ru"/>
        </w:rPr>
        <w:tab/>
        <w:t>Ограниченное испытание применимо в следующих случаях:</w:t>
      </w:r>
    </w:p>
    <w:p w14:paraId="76248EB4" w14:textId="77777777" w:rsidR="001F0C50" w:rsidRPr="002221F5" w:rsidRDefault="001317B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Когда производитель, зарегистрированный в РО, вставляет сер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тифицированный ICAR транспондер в другую первичную упаковку.</w:t>
      </w:r>
    </w:p>
    <w:p w14:paraId="73838E8B" w14:textId="77777777" w:rsidR="001F0C50" w:rsidRPr="002221F5" w:rsidRDefault="001317B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Когда производитель, зарегистрированный в РО, использует кремниевый чип сертифицированного ICAR транспондера с катушками других размеров.</w:t>
      </w:r>
    </w:p>
    <w:p w14:paraId="19004DC7" w14:textId="77777777" w:rsidR="001F0C50" w:rsidRPr="002221F5" w:rsidRDefault="001317B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Когда производитель, зарегистрированный в РО, встав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ляет сертифицированный ICAR транспондер в оригинальной первичной упаковке в другую вторичную упаковку, например, стеклянный транспондер в зонд или стеклянный транспондер в ушную бирку.</w:t>
      </w:r>
    </w:p>
    <w:p w14:paraId="3BB498B2" w14:textId="77777777" w:rsidR="001F0C50" w:rsidRPr="002221F5" w:rsidRDefault="001317BC" w:rsidP="00153F09">
      <w:pPr>
        <w:pStyle w:val="13"/>
        <w:shd w:val="clear" w:color="auto" w:fill="auto"/>
        <w:spacing w:after="12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/>
          <w:bCs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b/>
          <w:bCs/>
          <w:sz w:val="24"/>
          <w:szCs w:val="24"/>
          <w:lang w:val="ru"/>
        </w:rPr>
        <w:tab/>
        <w:t>Обновление регистрации применимо в следующем случае:</w:t>
      </w:r>
    </w:p>
    <w:p w14:paraId="1A52B07E" w14:textId="77777777" w:rsidR="001F0C50" w:rsidRPr="002221F5" w:rsidRDefault="001317B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Когда произв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одитель, зарегистрированный в РО, намеревается использовать сертифицированный ICAR транспондер, без каких-либо модификаций. В этом случае заявитель должен предоставить копию исходного отчета об испытаниях вместе с письменным подтверждением от зарегистриров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анного в ICAR производителя, который первоначально представил рассматриваемый транспондер в ICAR для сертификации.</w:t>
      </w:r>
    </w:p>
    <w:p w14:paraId="7149A4B7" w14:textId="77777777" w:rsidR="001F0C50" w:rsidRPr="002221F5" w:rsidRDefault="001317BC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Чтобы подать заявку на проверку соответствия транспондера ISO, производитель должен заполнить форму заявки на испытание, приведенную в Прилож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ении A1 (Заявка на проверку соответствия транспондера RFID (ISO 24631-1)), которая доступна 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по настоящей ссылке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.</w:t>
      </w:r>
    </w:p>
    <w:p w14:paraId="3141039B" w14:textId="77777777" w:rsidR="001F0C50" w:rsidRPr="002221F5" w:rsidRDefault="001317BC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Заполненную заявку необходимо отправить по электронной почте в формате PDF в секретариат Службы ICAR. Адрес электронной почты секретариата Служ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бы ICAR: 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Manufacturers@icar.org</w:t>
      </w:r>
    </w:p>
    <w:p w14:paraId="2634265B" w14:textId="77777777" w:rsidR="001F0C50" w:rsidRPr="002221F5" w:rsidRDefault="001317BC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Производитель имеет право по своему усмотрению выбрать испытательный центр из числа аккредитованных ICAR. Производитель обязан отправить:</w:t>
      </w:r>
    </w:p>
    <w:p w14:paraId="39B02AC1" w14:textId="77777777" w:rsidR="001F0C50" w:rsidRPr="002221F5" w:rsidRDefault="001317B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50 транспондеров в испытательный центр для полного испытания, или</w:t>
      </w:r>
    </w:p>
    <w:p w14:paraId="366502B5" w14:textId="77777777" w:rsidR="001F0C50" w:rsidRPr="002221F5" w:rsidRDefault="001317B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 xml:space="preserve">10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транспондеров для ограниченного испытания, или</w:t>
      </w:r>
    </w:p>
    <w:p w14:paraId="5C25B65D" w14:textId="77777777" w:rsidR="001F0C50" w:rsidRPr="002221F5" w:rsidRDefault="001317B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10 транспондеров для обновления регистрации.</w:t>
      </w:r>
    </w:p>
    <w:p w14:paraId="2DD1FB1B" w14:textId="77777777" w:rsidR="001F0C50" w:rsidRPr="002221F5" w:rsidRDefault="001317BC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Для проведения полного испытания представленные транспондеры должны иметь тестовый код ICAR 999 или существующий код производителя. Производитель может произволь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но выбирать коды транспондеров, однако дублирование кодов не допускается. Производитель должен предоставить список кодов транспондеров в десятичном формате.</w:t>
      </w:r>
    </w:p>
    <w:p w14:paraId="6B9B152B" w14:textId="77777777" w:rsidR="001F0C50" w:rsidRPr="002221F5" w:rsidRDefault="001317BC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Каждый образец в партии, представленной для испытания RFID (ISO24631-1 и/или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lastRenderedPageBreak/>
        <w:t>ISO24631-3), должен со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держать идентичные внутренние электронные компоненты (катушки и другие компоненты). Смешение технологий (микросхемы, конденсаторы, катушки) в рамках одной партии не допускается. Аналогичным образом, когда ICAR утверждает электронный идентификатор по резуль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татам испытания, все идентификаторы, поступающие в продажу, должны содержать те же компоненты, что и тестируемые образцы. Если в модель идентификатора после утверждения вносятся изменения, следует соблюдать требования к испытаниям, описанные в разделе 6.1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ISO24631-1.</w:t>
      </w:r>
    </w:p>
    <w:p w14:paraId="37881512" w14:textId="77777777" w:rsidR="001F0C50" w:rsidRPr="002221F5" w:rsidRDefault="001317BC" w:rsidP="00153F09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Испытательный центр проверяет транспондеры на соответствие стандартам ISO 11784 и ISO 11785. Все тестируемые транспондеры должны считываться эталонным лабораторным приемопередатчиком. Коды, считываемые эталонным лабораторным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приемопередатчиком, должны соответствовать стандарту ISO 11784, а идентификационные коды должны входить в список кодов, предоставленный производителем.</w:t>
      </w:r>
    </w:p>
    <w:p w14:paraId="7A9D3684" w14:textId="77777777" w:rsidR="001F0C50" w:rsidRPr="002221F5" w:rsidRDefault="001317BC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Испытательный центр составляет конфиденциальный отчет по результатам испытания и направляет отчет в Секр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етариат Службы ICAR. Для ограниченного испытания или обновления регистрации отчет об испытании содержит только сводку результатов.</w:t>
      </w:r>
    </w:p>
    <w:p w14:paraId="7C416421" w14:textId="77777777" w:rsidR="001F0C50" w:rsidRPr="002221F5" w:rsidRDefault="001317BC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Служба ICAR отправляет отчет об испытании производителю, и, в случае успешного результата проверки соответствия, официальное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письмо о сертификации ICAR, подписанное генеральным директором ICAR, также направляется производителю с копией в секретариат ISO/TC23/SC19/WG3.</w:t>
      </w:r>
    </w:p>
    <w:p w14:paraId="73AB41B1" w14:textId="77777777" w:rsidR="001F0C50" w:rsidRPr="002221F5" w:rsidRDefault="001317BC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ICAR в качестве РО выдает код продукта для каждого типа транспондеров, успешно прошедшего испытания, включая обн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овление списка.</w:t>
      </w:r>
    </w:p>
    <w:p w14:paraId="0C041F50" w14:textId="77777777" w:rsidR="001F0C50" w:rsidRPr="002221F5" w:rsidRDefault="001317BC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Все электронные транспондеры, предоставленные в рамках заявки, хранятся в испытательном центре в качестве эталонных транспондеров.</w:t>
      </w:r>
    </w:p>
    <w:p w14:paraId="1531E4DB" w14:textId="77777777" w:rsidR="001F0C50" w:rsidRPr="002221F5" w:rsidRDefault="001317BC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ICAR в качестве РО ведет публичный реестр на веб-сайте ICAR, в котором перечислены все продукты, зарегистриро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ванные и сертифицированные ICAR. Фотография сертифицированного устройства включена в регистрацию.</w:t>
      </w:r>
    </w:p>
    <w:p w14:paraId="36256027" w14:textId="77777777" w:rsidR="001F0C50" w:rsidRPr="002221F5" w:rsidRDefault="001317BC" w:rsidP="00153F09">
      <w:pPr>
        <w:pStyle w:val="120"/>
        <w:rPr>
          <w:lang w:val="ru-RU"/>
        </w:rPr>
      </w:pPr>
      <w:bookmarkStart w:id="15" w:name="bookmark1361"/>
      <w:bookmarkStart w:id="16" w:name="bookmark1360"/>
      <w:bookmarkStart w:id="17" w:name="_Toc93299081"/>
      <w:r w:rsidRPr="00847C67">
        <w:rPr>
          <w:lang w:val="ru"/>
        </w:rPr>
        <w:t>4.2</w:t>
      </w:r>
      <w:r w:rsidRPr="00847C67">
        <w:rPr>
          <w:lang w:val="ru"/>
        </w:rPr>
        <w:tab/>
        <w:t>Условия на право использования сертификата ICAR для транспондеров (проверка соответствия)</w:t>
      </w:r>
      <w:bookmarkEnd w:id="15"/>
      <w:bookmarkEnd w:id="16"/>
      <w:bookmarkEnd w:id="17"/>
    </w:p>
    <w:p w14:paraId="52E693A8" w14:textId="77777777" w:rsidR="001F0C50" w:rsidRPr="002221F5" w:rsidRDefault="001317BC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После успешного завершения проверки соответствие ICAR выдает сер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тификат устройства, действительный в течение пяти лет, и регистрационный номер сертификата.</w:t>
      </w:r>
    </w:p>
    <w:p w14:paraId="72BB658D" w14:textId="77777777" w:rsidR="001F0C50" w:rsidRPr="002221F5" w:rsidRDefault="001317BC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Сертификация транспондера ICAR подтверждает соответствие транспондера структуре кода и техническим концепциям, приведенным в ISO 11784 и ISO 11785.</w:t>
      </w:r>
    </w:p>
    <w:p w14:paraId="1A33C40B" w14:textId="77777777" w:rsidR="001F0C50" w:rsidRPr="002221F5" w:rsidRDefault="001317BC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Производитель до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лжен вести реестр базы данных всех проданных транспондеров, сертифицированных ICAR. Производитель должен потребовать от первоначальных покупателей своих сертифицированных ICAR транспондеров также вести реестр базы данных приобретенной ими продукции и требо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вать от всех последующих покупателей действовать аналогичным образом до тех пор, пока транспондер не будет использован на животном.</w:t>
      </w:r>
    </w:p>
    <w:p w14:paraId="4EF48A2D" w14:textId="77777777" w:rsidR="001F0C50" w:rsidRPr="002221F5" w:rsidRDefault="001317BC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Сертификат ICAR действителен только для транспондеров, успешно прошедших испытания и сертифицированных ICAR. Производитель н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е должен использовать сертификат ICAR и/или номер сертификата для транспондеров:</w:t>
      </w:r>
    </w:p>
    <w:p w14:paraId="1665B252" w14:textId="77777777" w:rsidR="001F0C50" w:rsidRPr="002221F5" w:rsidRDefault="001317B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lastRenderedPageBreak/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Которые им не производится; и/или</w:t>
      </w:r>
    </w:p>
    <w:p w14:paraId="5676C2B0" w14:textId="77777777" w:rsidR="001F0C50" w:rsidRPr="002221F5" w:rsidRDefault="001317B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Которые не соответствуют во всех отношениях сертификату ICAR и номеру сертификата, включая (помимо прочего) следующие аспекты:</w:t>
      </w:r>
    </w:p>
    <w:p w14:paraId="2517BE0B" w14:textId="77777777" w:rsidR="001F0C50" w:rsidRPr="002221F5" w:rsidRDefault="001317BC" w:rsidP="00153F09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-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ab/>
        <w:t>Сохран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ение идентичной упаковки (как первичной, так и вторичной) сертифицированного транспондера.</w:t>
      </w:r>
    </w:p>
    <w:p w14:paraId="1AE27940" w14:textId="77777777" w:rsidR="001F0C50" w:rsidRPr="002221F5" w:rsidRDefault="001317BC" w:rsidP="00153F09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-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ab/>
        <w:t>Сохранение идентичной технологии и производителя сертифицированного транспондера.</w:t>
      </w:r>
    </w:p>
    <w:p w14:paraId="7D524A23" w14:textId="77777777" w:rsidR="001F0C50" w:rsidRPr="002221F5" w:rsidRDefault="001317BC" w:rsidP="00153F09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-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ab/>
        <w:t>Сохранение транспондера, идентичного сертифицированному транспондеру.</w:t>
      </w:r>
    </w:p>
    <w:p w14:paraId="58F32244" w14:textId="77777777" w:rsidR="001F0C50" w:rsidRPr="002221F5" w:rsidRDefault="001317B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Которы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е используют код производителя, принадлежащий другому производителю;</w:t>
      </w:r>
    </w:p>
    <w:p w14:paraId="027666CB" w14:textId="77777777" w:rsidR="001F0C50" w:rsidRPr="002221F5" w:rsidRDefault="001317B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d.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 xml:space="preserve">Которые поставляются или предназначены для поставки лицу («получателю») для последующей продажи транспондеров, как если бы они были произведены таким лицом, за исключением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случаев, когда:</w:t>
      </w:r>
    </w:p>
    <w:p w14:paraId="1352364B" w14:textId="77777777" w:rsidR="001F0C50" w:rsidRPr="002221F5" w:rsidRDefault="001317BC" w:rsidP="00153F09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-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ab/>
        <w:t>Получатель получил регистрацию ICAR в рамках этого процесса; и</w:t>
      </w:r>
    </w:p>
    <w:p w14:paraId="53F985BB" w14:textId="77777777" w:rsidR="001F0C50" w:rsidRPr="002221F5" w:rsidRDefault="001317BC" w:rsidP="00153F09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-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ab/>
        <w:t>Транспондер имеет либо общий код производителя, либо уникальный код производителя для получателя.</w:t>
      </w:r>
    </w:p>
    <w:p w14:paraId="268C4767" w14:textId="77777777" w:rsidR="00817293" w:rsidRPr="002221F5" w:rsidRDefault="001317BC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После получения сертификата ICAR производитель несет ответственность за сле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дующие действия:</w:t>
      </w:r>
    </w:p>
    <w:p w14:paraId="6E9C068B" w14:textId="77777777" w:rsidR="001F0C50" w:rsidRPr="002221F5" w:rsidRDefault="001317B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Ведение точного и подробного журнала всех изменений в отношении своего продукта; этот журнал должен быть доступен ICAR по запросу. Этот журнал должен включать сведения о внутренних измерениях рабочих характеристик и проверках обеспечени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я качества, подтверждающих, что качество и рабочие характеристики измененного продукта остались неизменными или были улучшены.</w:t>
      </w:r>
    </w:p>
    <w:p w14:paraId="72B3F150" w14:textId="77777777" w:rsidR="001F0C50" w:rsidRPr="002221F5" w:rsidRDefault="001317B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 xml:space="preserve">Отправка продукта для повторной сертификации до истечения срока действия его текущей сертификации ICAR.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Производитель должен представить этот продукт не ранее 6 и не позднее 5 месяцев до истечения срока действия сертификата.</w:t>
      </w:r>
    </w:p>
    <w:p w14:paraId="7C3D7CC6" w14:textId="77777777" w:rsidR="001F0C50" w:rsidRPr="002221F5" w:rsidRDefault="001317B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Согласие с тем, что ICAR может взять образцы продукции на рынке и проверить их соответствие в сравнении с устройством, первоначально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представленным производителем, в случае если у ICAR возникнут подозрения по поводу нарушения подписанного Кодекса деловой этики ICAR или по поводу изменения продукта, не прошедшего испытания, описанные в документе Процедура 1, Раздел 10, «Соответствие тра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нспондеров стандартам ISO».</w:t>
      </w:r>
    </w:p>
    <w:p w14:paraId="5DE8BBBA" w14:textId="77777777" w:rsidR="001F0C50" w:rsidRPr="002221F5" w:rsidRDefault="001317BC" w:rsidP="00153F09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Если производитель не выполняет какие-либо из вышеперечисленных условий, предусмотренных для использования сертификата ICAR, ICAR может принять меры в качестве регистрирующего органа ISO в соответствии со стандартом ISO 24631-1.</w:t>
      </w:r>
    </w:p>
    <w:p w14:paraId="4476BBE4" w14:textId="77777777" w:rsidR="001F0C50" w:rsidRPr="002221F5" w:rsidRDefault="001317BC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В случае возникновения споров, касающихся перечисленных выше условий или использования сертификата ICAR, решения ICAR в качестве РО имеют обязательную силу.</w:t>
      </w:r>
    </w:p>
    <w:p w14:paraId="1A12F432" w14:textId="77777777" w:rsidR="00B05E6A" w:rsidRPr="002221F5" w:rsidRDefault="001317BC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ICAR в качестве РО осуществляет информирование о любых производителях, которые занимаются сбытом т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ранспондеров, не соответствующих процедуре сертификации.</w:t>
      </w:r>
    </w:p>
    <w:sectPr w:rsidR="00B05E6A" w:rsidRPr="002221F5" w:rsidSect="006A4A15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1701" w:right="1418" w:bottom="1701" w:left="1418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94FDC" w14:textId="77777777" w:rsidR="001317BC" w:rsidRDefault="001317BC">
      <w:r>
        <w:separator/>
      </w:r>
    </w:p>
  </w:endnote>
  <w:endnote w:type="continuationSeparator" w:id="0">
    <w:p w14:paraId="5E999E11" w14:textId="77777777" w:rsidR="001317BC" w:rsidRDefault="00131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3513C" w14:textId="77777777" w:rsidR="005F0D17" w:rsidRDefault="005F0D17">
    <w:pPr>
      <w:pStyle w:val="ac"/>
    </w:pPr>
  </w:p>
  <w:tbl>
    <w:tblPr>
      <w:tblOverlap w:val="never"/>
      <w:tblW w:w="9177" w:type="dxa"/>
      <w:jc w:val="center"/>
      <w:tblBorders>
        <w:top w:val="single" w:sz="8" w:space="0" w:color="F68C36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86"/>
      <w:gridCol w:w="8491"/>
    </w:tblGrid>
    <w:tr w:rsidR="007628C7" w14:paraId="0F95B9EB" w14:textId="77777777" w:rsidTr="005F0D17">
      <w:trPr>
        <w:jc w:val="center"/>
      </w:trPr>
      <w:tc>
        <w:tcPr>
          <w:tcW w:w="686" w:type="dxa"/>
          <w:vMerge w:val="restart"/>
          <w:shd w:val="clear" w:color="auto" w:fill="FFFFFF"/>
        </w:tcPr>
        <w:p w14:paraId="2F103DBE" w14:textId="77777777" w:rsidR="005F0D17" w:rsidRPr="005F0D17" w:rsidRDefault="001317BC" w:rsidP="005F0D17">
          <w:pPr>
            <w:spacing w:before="20"/>
            <w:rPr>
              <w:sz w:val="20"/>
              <w:szCs w:val="20"/>
            </w:rPr>
          </w:pPr>
          <w:r w:rsidRPr="005F0D17">
            <w:rPr>
              <w:noProof/>
              <w:sz w:val="20"/>
              <w:szCs w:val="20"/>
              <w:lang w:val="ru-RU" w:eastAsia="ru-RU" w:bidi="he-IL"/>
            </w:rPr>
            <w:drawing>
              <wp:inline distT="0" distB="0" distL="0" distR="0" wp14:anchorId="4799B764" wp14:editId="6F1D4088">
                <wp:extent cx="406400" cy="420732"/>
                <wp:effectExtent l="0" t="0" r="0" b="0"/>
                <wp:docPr id="197" name="Рисунок 197" descr="C:\Users\Anatoly\AppData\Local\Microsoft\Windows\INetCache\Content.Word\01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7870556" name="Picture 10" descr="C:\Users\Anatoly\AppData\Local\Microsoft\Windows\INetCache\Content.Word\01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210" cy="4433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1" w:type="dxa"/>
          <w:shd w:val="clear" w:color="auto" w:fill="FFFFFF"/>
        </w:tcPr>
        <w:p w14:paraId="1D1D7ECA" w14:textId="77777777" w:rsidR="005F0D17" w:rsidRPr="005F0D17" w:rsidRDefault="001317BC" w:rsidP="00CA32C8">
          <w:pPr>
            <w:pStyle w:val="a4"/>
            <w:shd w:val="clear" w:color="auto" w:fill="auto"/>
            <w:spacing w:before="60" w:after="20" w:line="240" w:lineRule="auto"/>
            <w:ind w:left="57" w:right="57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CA32C8">
            <w:rPr>
              <w:rFonts w:ascii="Times New Roman" w:eastAsia="Lucida Sans Unicode" w:hAnsi="Times New Roman" w:cs="Times New Roman"/>
              <w:color w:val="0082BD"/>
              <w:sz w:val="20"/>
              <w:szCs w:val="20"/>
              <w:lang w:val="ru"/>
            </w:rPr>
            <w:t xml:space="preserve">Соответствие транспондеров стандартам ISO — стр. 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begin"/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  <w:lang w:val="ru"/>
            </w:rPr>
            <w:instrText>PAGE  \* Arabic  \* MERGEFORMAT</w:instrTex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separate"/>
          </w:r>
          <w:r w:rsidR="003F2C6D">
            <w:rPr>
              <w:rFonts w:ascii="Times New Roman" w:eastAsia="Lucida Sans Unicode" w:hAnsi="Times New Roman" w:cs="Times New Roman"/>
              <w:bCs/>
              <w:noProof/>
              <w:color w:val="0082BD"/>
              <w:sz w:val="20"/>
              <w:szCs w:val="20"/>
              <w:lang w:val="ru"/>
            </w:rPr>
            <w:t>7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end"/>
          </w:r>
          <w:r w:rsidRPr="00CA32C8">
            <w:rPr>
              <w:rFonts w:ascii="Times New Roman" w:eastAsia="Lucida Sans Unicode" w:hAnsi="Times New Roman" w:cs="Times New Roman"/>
              <w:color w:val="0082BD"/>
              <w:sz w:val="20"/>
              <w:szCs w:val="20"/>
              <w:lang w:val="ru"/>
            </w:rPr>
            <w:t xml:space="preserve">из 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begin"/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  <w:lang w:val="ru"/>
            </w:rPr>
            <w:instrText>NUMPAGES  \* Arabic  \* MERGEFORMAT</w:instrTex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separate"/>
          </w:r>
          <w:r w:rsidR="003F2C6D">
            <w:rPr>
              <w:rFonts w:ascii="Times New Roman" w:eastAsia="Lucida Sans Unicode" w:hAnsi="Times New Roman" w:cs="Times New Roman"/>
              <w:bCs/>
              <w:noProof/>
              <w:color w:val="0082BD"/>
              <w:sz w:val="20"/>
              <w:szCs w:val="20"/>
              <w:lang w:val="ru"/>
            </w:rPr>
            <w:t>7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end"/>
          </w:r>
          <w:r w:rsidRPr="00CA32C8">
            <w:rPr>
              <w:rFonts w:ascii="Times New Roman" w:eastAsia="Lucida Sans Unicode" w:hAnsi="Times New Roman" w:cs="Times New Roman"/>
              <w:color w:val="0082BD"/>
              <w:sz w:val="20"/>
              <w:szCs w:val="20"/>
              <w:lang w:val="ru"/>
            </w:rPr>
            <w:t>.</w:t>
          </w:r>
        </w:p>
      </w:tc>
    </w:tr>
    <w:tr w:rsidR="007628C7" w14:paraId="66DD2896" w14:textId="77777777" w:rsidTr="005F0D17">
      <w:trPr>
        <w:jc w:val="center"/>
      </w:trPr>
      <w:tc>
        <w:tcPr>
          <w:tcW w:w="686" w:type="dxa"/>
          <w:vMerge/>
          <w:shd w:val="clear" w:color="auto" w:fill="FFFFFF"/>
        </w:tcPr>
        <w:p w14:paraId="7E0A1820" w14:textId="77777777" w:rsidR="005F0D17" w:rsidRPr="005F0D17" w:rsidRDefault="005F0D17" w:rsidP="005F0D17">
          <w:pPr>
            <w:spacing w:before="20" w:after="20"/>
            <w:ind w:left="57" w:right="57"/>
            <w:rPr>
              <w:sz w:val="20"/>
              <w:szCs w:val="20"/>
            </w:rPr>
          </w:pPr>
        </w:p>
      </w:tc>
      <w:tc>
        <w:tcPr>
          <w:tcW w:w="8491" w:type="dxa"/>
          <w:shd w:val="clear" w:color="auto" w:fill="FFFFFF"/>
        </w:tcPr>
        <w:p w14:paraId="644C86D3" w14:textId="77777777" w:rsidR="005F0D17" w:rsidRPr="005F0D17" w:rsidRDefault="005F0D17" w:rsidP="005F0D17">
          <w:pPr>
            <w:spacing w:before="20" w:after="20"/>
            <w:ind w:left="57" w:right="57"/>
            <w:rPr>
              <w:sz w:val="20"/>
              <w:szCs w:val="20"/>
            </w:rPr>
          </w:pPr>
        </w:p>
      </w:tc>
    </w:tr>
  </w:tbl>
  <w:p w14:paraId="4D6AFDD3" w14:textId="77777777" w:rsidR="005F0D17" w:rsidRPr="005F0D17" w:rsidRDefault="005F0D17">
    <w:pPr>
      <w:pStyle w:val="ac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6C02" w14:textId="77777777" w:rsidR="00847C67" w:rsidRDefault="00847C67" w:rsidP="00847C67">
    <w:pPr>
      <w:pStyle w:val="ac"/>
    </w:pPr>
  </w:p>
  <w:p w14:paraId="36E94D83" w14:textId="77777777" w:rsidR="00847C67" w:rsidRPr="00847C67" w:rsidRDefault="001317BC" w:rsidP="005F0D17">
    <w:pPr>
      <w:pStyle w:val="a6"/>
      <w:shd w:val="clear" w:color="auto" w:fill="auto"/>
      <w:spacing w:after="60"/>
      <w:jc w:val="right"/>
      <w:rPr>
        <w:rFonts w:ascii="Times New Roman" w:hAnsi="Times New Roman" w:cs="Times New Roman"/>
        <w:b w:val="0"/>
        <w:sz w:val="24"/>
        <w:szCs w:val="24"/>
      </w:rPr>
    </w:pPr>
    <w:r w:rsidRPr="00847C67">
      <w:rPr>
        <w:rFonts w:ascii="Times New Roman" w:hAnsi="Times New Roman" w:cs="Times New Roman"/>
        <w:sz w:val="24"/>
        <w:szCs w:val="24"/>
        <w:lang w:val="ru"/>
      </w:rPr>
      <w:t>Сеть. Руководство. Сертификация.</w:t>
    </w:r>
  </w:p>
  <w:p w14:paraId="2F4F6AB1" w14:textId="77777777" w:rsidR="00847C67" w:rsidRPr="005F0D17" w:rsidRDefault="001317BC" w:rsidP="005F0D17">
    <w:pPr>
      <w:spacing w:after="480"/>
      <w:jc w:val="both"/>
      <w:rPr>
        <w:sz w:val="2"/>
        <w:szCs w:val="2"/>
      </w:rPr>
    </w:pPr>
    <w:r w:rsidRPr="005F0D17">
      <w:rPr>
        <w:noProof/>
        <w:sz w:val="2"/>
        <w:szCs w:val="2"/>
        <w:lang w:val="ru-RU" w:eastAsia="ru-RU" w:bidi="he-IL"/>
      </w:rPr>
      <w:drawing>
        <wp:inline distT="0" distB="0" distL="0" distR="0" wp14:anchorId="776CDC6C" wp14:editId="26511C0A">
          <wp:extent cx="5943600" cy="21600"/>
          <wp:effectExtent l="0" t="0" r="0" b="0"/>
          <wp:docPr id="194" name="Рисунок 194" descr="C:\Users\Anatoly\AppData\Local\Microsoft\Windows\INetCache\Content.Word\02.e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992643" name="Picture 32" descr="C:\Users\Anatoly\AppData\Local\Microsoft\Windows\INetCache\Content.Word\02.emf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0D17">
      <w:rPr>
        <w:noProof/>
        <w:sz w:val="2"/>
        <w:szCs w:val="2"/>
        <w:lang w:val="ru-RU" w:eastAsia="ru-RU" w:bidi="he-IL"/>
      </w:rPr>
      <w:drawing>
        <wp:anchor distT="0" distB="0" distL="114300" distR="114300" simplePos="0" relativeHeight="251658240" behindDoc="1" locked="0" layoutInCell="1" allowOverlap="1" wp14:anchorId="10AD6867" wp14:editId="678AF6CE">
          <wp:simplePos x="0" y="0"/>
          <wp:positionH relativeFrom="column">
            <wp:posOffset>2179955</wp:posOffset>
          </wp:positionH>
          <wp:positionV relativeFrom="page">
            <wp:posOffset>6146165</wp:posOffset>
          </wp:positionV>
          <wp:extent cx="4572000" cy="4543425"/>
          <wp:effectExtent l="0" t="0" r="0" b="9525"/>
          <wp:wrapNone/>
          <wp:docPr id="193" name="Рисунок 193" descr="C:\Users\Anatoly\AppData\Local\Microsoft\Windows\INetCache\Content.Word\03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58546" name="Picture 29" descr="C:\Users\Anatoly\AppData\Local\Microsoft\Windows\INetCache\Content.Word\03.e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454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04FFD" w14:textId="77777777" w:rsidR="001317BC" w:rsidRDefault="001317BC">
      <w:r>
        <w:separator/>
      </w:r>
    </w:p>
  </w:footnote>
  <w:footnote w:type="continuationSeparator" w:id="0">
    <w:p w14:paraId="498C4B01" w14:textId="77777777" w:rsidR="001317BC" w:rsidRDefault="00131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0" w:type="auto"/>
      <w:jc w:val="center"/>
      <w:tblBorders>
        <w:bottom w:val="single" w:sz="8" w:space="0" w:color="F68C36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130"/>
    </w:tblGrid>
    <w:tr w:rsidR="007628C7" w:rsidRPr="002221F5" w14:paraId="112DAFA1" w14:textId="77777777" w:rsidTr="005F0D17">
      <w:trPr>
        <w:jc w:val="center"/>
      </w:trPr>
      <w:tc>
        <w:tcPr>
          <w:tcW w:w="9130" w:type="dxa"/>
          <w:shd w:val="clear" w:color="auto" w:fill="FFFFFF"/>
        </w:tcPr>
        <w:p w14:paraId="11C951D9" w14:textId="77777777" w:rsidR="00CA32C8" w:rsidRPr="002221F5" w:rsidRDefault="001317BC" w:rsidP="005F0D17">
          <w:pPr>
            <w:pStyle w:val="a4"/>
            <w:shd w:val="clear" w:color="auto" w:fill="auto"/>
            <w:spacing w:before="20" w:after="20" w:line="240" w:lineRule="auto"/>
            <w:jc w:val="right"/>
            <w:rPr>
              <w:rFonts w:ascii="Times New Roman" w:eastAsia="Lucida Sans Unicode" w:hAnsi="Times New Roman" w:cs="Times New Roman"/>
              <w:b/>
              <w:bCs/>
              <w:color w:val="042341"/>
              <w:sz w:val="24"/>
              <w:szCs w:val="24"/>
              <w:lang w:val="ru-RU"/>
            </w:rPr>
          </w:pPr>
          <w:r w:rsidRPr="00CA32C8">
            <w:rPr>
              <w:rFonts w:ascii="Times New Roman" w:eastAsia="Lucida Sans Unicode" w:hAnsi="Times New Roman" w:cs="Times New Roman"/>
              <w:b/>
              <w:bCs/>
              <w:color w:val="042341"/>
              <w:sz w:val="24"/>
              <w:szCs w:val="24"/>
              <w:lang w:val="ru"/>
            </w:rPr>
            <w:t>Процедура 1 Раздела 10</w:t>
          </w:r>
        </w:p>
        <w:p w14:paraId="7355BD95" w14:textId="77777777" w:rsidR="00CA32C8" w:rsidRPr="002221F5" w:rsidRDefault="001317BC" w:rsidP="005F0D17">
          <w:pPr>
            <w:pStyle w:val="a4"/>
            <w:shd w:val="clear" w:color="auto" w:fill="auto"/>
            <w:spacing w:before="20" w:after="20" w:line="240" w:lineRule="auto"/>
            <w:jc w:val="right"/>
            <w:rPr>
              <w:rFonts w:ascii="Times New Roman" w:eastAsia="Lucida Sans Unicode" w:hAnsi="Times New Roman" w:cs="Times New Roman"/>
              <w:color w:val="042341"/>
              <w:sz w:val="24"/>
              <w:szCs w:val="24"/>
              <w:lang w:val="ru-RU"/>
            </w:rPr>
          </w:pPr>
          <w:r w:rsidRPr="00CA32C8">
            <w:rPr>
              <w:rFonts w:ascii="Times New Roman" w:eastAsia="Lucida Sans Unicode" w:hAnsi="Times New Roman" w:cs="Times New Roman"/>
              <w:color w:val="042341"/>
              <w:sz w:val="24"/>
              <w:szCs w:val="24"/>
              <w:lang w:val="ru"/>
            </w:rPr>
            <w:t>Соответствие транспондеров стандартам ISO</w:t>
          </w:r>
        </w:p>
        <w:p w14:paraId="3B56EF78" w14:textId="77777777" w:rsidR="005F0D17" w:rsidRPr="002221F5" w:rsidRDefault="001317BC" w:rsidP="005F0D17">
          <w:pPr>
            <w:pStyle w:val="a4"/>
            <w:shd w:val="clear" w:color="auto" w:fill="auto"/>
            <w:spacing w:before="20" w:after="20" w:line="240" w:lineRule="auto"/>
            <w:jc w:val="right"/>
            <w:rPr>
              <w:rFonts w:ascii="Times New Roman" w:hAnsi="Times New Roman" w:cs="Times New Roman"/>
              <w:szCs w:val="24"/>
              <w:lang w:val="ru-RU"/>
            </w:rPr>
          </w:pPr>
          <w:r w:rsidRPr="00CA32C8">
            <w:rPr>
              <w:rFonts w:ascii="Times New Roman" w:eastAsia="Lucida Sans Unicode" w:hAnsi="Times New Roman" w:cs="Times New Roman"/>
              <w:color w:val="0082BD"/>
              <w:sz w:val="20"/>
              <w:szCs w:val="24"/>
              <w:lang w:val="ru"/>
            </w:rPr>
            <w:t>Дата выпуска версии: февраль 2018 г.</w:t>
          </w:r>
        </w:p>
      </w:tc>
    </w:tr>
  </w:tbl>
  <w:p w14:paraId="20B76F95" w14:textId="77777777" w:rsidR="005F0D17" w:rsidRPr="002221F5" w:rsidRDefault="005F0D17">
    <w:pPr>
      <w:pStyle w:val="aa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0" w:type="auto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36"/>
      <w:gridCol w:w="3709"/>
    </w:tblGrid>
    <w:tr w:rsidR="007628C7" w:rsidRPr="002221F5" w14:paraId="13307109" w14:textId="77777777" w:rsidTr="002221F5">
      <w:tc>
        <w:tcPr>
          <w:tcW w:w="1536" w:type="dxa"/>
          <w:shd w:val="clear" w:color="auto" w:fill="FFFFFF"/>
          <w:vAlign w:val="center"/>
        </w:tcPr>
        <w:p w14:paraId="1CC431BE" w14:textId="77777777" w:rsidR="00847C67" w:rsidRPr="00847C67" w:rsidRDefault="001317BC" w:rsidP="00847C67">
          <w:r w:rsidRPr="00847C67">
            <w:rPr>
              <w:noProof/>
              <w:lang w:val="ru-RU" w:eastAsia="ru-RU" w:bidi="he-IL"/>
            </w:rPr>
            <w:drawing>
              <wp:inline distT="0" distB="0" distL="0" distR="0" wp14:anchorId="50418D01" wp14:editId="7DCB32E8">
                <wp:extent cx="864235" cy="894715"/>
                <wp:effectExtent l="0" t="0" r="0" b="635"/>
                <wp:docPr id="192" name="Рисунок 192" descr="C:\Users\Anatoly\AppData\Local\Microsoft\Windows\INetCache\Content.Word\01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9658489" name="Picture 10" descr="C:\Users\Anatoly\AppData\Local\Microsoft\Windows\INetCache\Content.Word\01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235" cy="89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9" w:type="dxa"/>
          <w:shd w:val="clear" w:color="auto" w:fill="FFFFFF"/>
          <w:vAlign w:val="center"/>
        </w:tcPr>
        <w:p w14:paraId="2DB4FBE6" w14:textId="77777777" w:rsidR="00847C67" w:rsidRPr="002221F5" w:rsidRDefault="001317BC" w:rsidP="00847C67">
          <w:pPr>
            <w:pStyle w:val="a4"/>
            <w:shd w:val="clear" w:color="auto" w:fill="auto"/>
            <w:spacing w:before="20" w:after="20" w:line="240" w:lineRule="auto"/>
            <w:ind w:left="57" w:right="57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 w:rsidRPr="00847C67">
            <w:rPr>
              <w:rFonts w:ascii="Times New Roman" w:eastAsia="Arial" w:hAnsi="Times New Roman" w:cs="Times New Roman"/>
              <w:b/>
              <w:bCs/>
              <w:color w:val="042341"/>
              <w:sz w:val="24"/>
              <w:szCs w:val="24"/>
              <w:lang w:val="ru"/>
            </w:rPr>
            <w:t>ГЛОБАЛЬНЫЙ СТАНДАРТ ДАННЫХ О СЕЛЬСКОХОЗЯЙСТВЕННЫХ ЖИВОТНЫХ</w:t>
          </w:r>
        </w:p>
      </w:tc>
    </w:tr>
  </w:tbl>
  <w:p w14:paraId="446D2EE0" w14:textId="77777777" w:rsidR="00847C67" w:rsidRPr="002221F5" w:rsidRDefault="00847C67">
    <w:pPr>
      <w:pStyle w:val="aa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50"/>
    <w:rsid w:val="000300EB"/>
    <w:rsid w:val="000A66B0"/>
    <w:rsid w:val="000C51AE"/>
    <w:rsid w:val="000F5F45"/>
    <w:rsid w:val="00130640"/>
    <w:rsid w:val="001317BC"/>
    <w:rsid w:val="00144310"/>
    <w:rsid w:val="00153F09"/>
    <w:rsid w:val="001809CE"/>
    <w:rsid w:val="001E781F"/>
    <w:rsid w:val="001F0C50"/>
    <w:rsid w:val="002212E4"/>
    <w:rsid w:val="002221F5"/>
    <w:rsid w:val="00291AEA"/>
    <w:rsid w:val="002D7837"/>
    <w:rsid w:val="003F2C6D"/>
    <w:rsid w:val="00424DC9"/>
    <w:rsid w:val="004C7DA2"/>
    <w:rsid w:val="004D7D31"/>
    <w:rsid w:val="004F4F14"/>
    <w:rsid w:val="00533173"/>
    <w:rsid w:val="0056063D"/>
    <w:rsid w:val="00586D79"/>
    <w:rsid w:val="005E2195"/>
    <w:rsid w:val="005F0D17"/>
    <w:rsid w:val="005F6243"/>
    <w:rsid w:val="00610D16"/>
    <w:rsid w:val="006420D6"/>
    <w:rsid w:val="006A4A15"/>
    <w:rsid w:val="006E0D41"/>
    <w:rsid w:val="006E22D3"/>
    <w:rsid w:val="00716554"/>
    <w:rsid w:val="007628C7"/>
    <w:rsid w:val="0077235D"/>
    <w:rsid w:val="00792D9D"/>
    <w:rsid w:val="00817293"/>
    <w:rsid w:val="008217E2"/>
    <w:rsid w:val="00847C67"/>
    <w:rsid w:val="0085133C"/>
    <w:rsid w:val="00871291"/>
    <w:rsid w:val="009212D4"/>
    <w:rsid w:val="00940F73"/>
    <w:rsid w:val="009519D2"/>
    <w:rsid w:val="00A00221"/>
    <w:rsid w:val="00A53073"/>
    <w:rsid w:val="00A71700"/>
    <w:rsid w:val="00AB7455"/>
    <w:rsid w:val="00B05E6A"/>
    <w:rsid w:val="00B50317"/>
    <w:rsid w:val="00B66435"/>
    <w:rsid w:val="00B671F2"/>
    <w:rsid w:val="00B74687"/>
    <w:rsid w:val="00B75A2A"/>
    <w:rsid w:val="00BB5CBD"/>
    <w:rsid w:val="00BE5F0C"/>
    <w:rsid w:val="00C029E8"/>
    <w:rsid w:val="00C3310C"/>
    <w:rsid w:val="00C76436"/>
    <w:rsid w:val="00C80486"/>
    <w:rsid w:val="00CA32C8"/>
    <w:rsid w:val="00CA6CD8"/>
    <w:rsid w:val="00CB6466"/>
    <w:rsid w:val="00D434C8"/>
    <w:rsid w:val="00D70038"/>
    <w:rsid w:val="00DB0CBB"/>
    <w:rsid w:val="00DD05CD"/>
    <w:rsid w:val="00DE2333"/>
    <w:rsid w:val="00E8018A"/>
    <w:rsid w:val="00EC7706"/>
    <w:rsid w:val="00EF1017"/>
    <w:rsid w:val="00F07C0A"/>
    <w:rsid w:val="00F153E4"/>
    <w:rsid w:val="00F26CE5"/>
    <w:rsid w:val="00F33BE6"/>
    <w:rsid w:val="00F348F1"/>
    <w:rsid w:val="00FC6E57"/>
    <w:rsid w:val="00FD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D04A"/>
  <w15:docId w15:val="{0D185C36-1894-4A90-94C0-FE17B9F5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E22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2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2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Подпись к картинке_"/>
    <w:basedOn w:val="a0"/>
    <w:link w:val="a6"/>
    <w:rPr>
      <w:rFonts w:ascii="Arial" w:eastAsia="Arial" w:hAnsi="Arial" w:cs="Arial"/>
      <w:b/>
      <w:bCs/>
      <w:i w:val="0"/>
      <w:iCs w:val="0"/>
      <w:smallCaps w:val="0"/>
      <w:strike w:val="0"/>
      <w:color w:val="EA5D0B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Pr>
      <w:rFonts w:ascii="Tahoma" w:eastAsia="Tahoma" w:hAnsi="Tahoma" w:cs="Tahoma"/>
      <w:b/>
      <w:bCs/>
      <w:i w:val="0"/>
      <w:iCs w:val="0"/>
      <w:smallCaps w:val="0"/>
      <w:strike w:val="0"/>
      <w:color w:val="0082BD"/>
      <w:sz w:val="24"/>
      <w:szCs w:val="24"/>
      <w:u w:val="none"/>
    </w:rPr>
  </w:style>
  <w:style w:type="character" w:customStyle="1" w:styleId="a7">
    <w:name w:val="Основной текст_"/>
    <w:basedOn w:val="a0"/>
    <w:link w:val="13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42341"/>
      <w:sz w:val="42"/>
      <w:szCs w:val="42"/>
      <w:u w:val="none"/>
    </w:rPr>
  </w:style>
  <w:style w:type="character" w:customStyle="1" w:styleId="100">
    <w:name w:val="Основной текст (10)_"/>
    <w:basedOn w:val="a0"/>
    <w:link w:val="101"/>
    <w:rPr>
      <w:rFonts w:ascii="Tahoma" w:eastAsia="Tahoma" w:hAnsi="Tahoma" w:cs="Tahoma"/>
      <w:b/>
      <w:bCs/>
      <w:i w:val="0"/>
      <w:iCs w:val="0"/>
      <w:smallCaps w:val="0"/>
      <w:strike w:val="0"/>
      <w:color w:val="042341"/>
      <w:sz w:val="40"/>
      <w:szCs w:val="40"/>
      <w:u w:val="none"/>
    </w:rPr>
  </w:style>
  <w:style w:type="character" w:customStyle="1" w:styleId="51">
    <w:name w:val="Заголовок №5_"/>
    <w:basedOn w:val="a0"/>
    <w:link w:val="5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Заголовок №6_"/>
    <w:basedOn w:val="a0"/>
    <w:link w:val="6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  <w:spacing w:line="269" w:lineRule="auto"/>
    </w:pPr>
    <w:rPr>
      <w:rFonts w:ascii="Georgia" w:eastAsia="Georgia" w:hAnsi="Georgia" w:cs="Georgia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35" w:lineRule="auto"/>
      <w:ind w:firstLine="900"/>
    </w:pPr>
    <w:rPr>
      <w:rFonts w:ascii="Lucida Sans Unicode" w:eastAsia="Lucida Sans Unicode" w:hAnsi="Lucida Sans Unicode" w:cs="Lucida Sans Unicode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ind w:left="1320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a6">
    <w:name w:val="Подпись к картинке"/>
    <w:basedOn w:val="a"/>
    <w:link w:val="a5"/>
    <w:pPr>
      <w:shd w:val="clear" w:color="auto" w:fill="FFFFFF"/>
    </w:pPr>
    <w:rPr>
      <w:rFonts w:ascii="Arial" w:eastAsia="Arial" w:hAnsi="Arial" w:cs="Arial"/>
      <w:b/>
      <w:bCs/>
      <w:color w:val="EA5D0B"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outlineLvl w:val="0"/>
    </w:pPr>
    <w:rPr>
      <w:rFonts w:ascii="Tahoma" w:eastAsia="Tahoma" w:hAnsi="Tahoma" w:cs="Tahoma"/>
      <w:b/>
      <w:bCs/>
      <w:color w:val="0082BD"/>
    </w:rPr>
  </w:style>
  <w:style w:type="paragraph" w:customStyle="1" w:styleId="13">
    <w:name w:val="Основной текст1"/>
    <w:basedOn w:val="a"/>
    <w:link w:val="a7"/>
    <w:pPr>
      <w:shd w:val="clear" w:color="auto" w:fill="FFFFFF"/>
      <w:spacing w:line="269" w:lineRule="auto"/>
    </w:pPr>
    <w:rPr>
      <w:rFonts w:ascii="Georgia" w:eastAsia="Georgia" w:hAnsi="Georgia" w:cs="Georgia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90" w:lineRule="auto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ind w:firstLine="540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9" w:lineRule="auto"/>
      <w:ind w:firstLine="20"/>
    </w:pPr>
    <w:rPr>
      <w:rFonts w:ascii="Cambria" w:eastAsia="Cambria" w:hAnsi="Cambria" w:cs="Cambria"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290" w:lineRule="auto"/>
      <w:ind w:firstLine="60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line="290" w:lineRule="auto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66" w:lineRule="auto"/>
    </w:pPr>
    <w:rPr>
      <w:rFonts w:ascii="Georgia" w:eastAsia="Georgia" w:hAnsi="Georgia" w:cs="Georgia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ind w:left="1250"/>
    </w:pPr>
    <w:rPr>
      <w:rFonts w:ascii="Calibri" w:eastAsia="Calibri" w:hAnsi="Calibri" w:cs="Calibri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26" w:lineRule="auto"/>
      <w:ind w:firstLine="600"/>
    </w:pPr>
    <w:rPr>
      <w:rFonts w:ascii="Lucida Sans Unicode" w:eastAsia="Lucida Sans Unicode" w:hAnsi="Lucida Sans Unicode" w:cs="Lucida Sans Unicode"/>
      <w:b/>
      <w:bCs/>
      <w:color w:val="042341"/>
      <w:sz w:val="42"/>
      <w:szCs w:val="4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ind w:firstLine="600"/>
    </w:pPr>
    <w:rPr>
      <w:rFonts w:ascii="Tahoma" w:eastAsia="Tahoma" w:hAnsi="Tahoma" w:cs="Tahoma"/>
      <w:b/>
      <w:bCs/>
      <w:color w:val="042341"/>
      <w:sz w:val="40"/>
      <w:szCs w:val="40"/>
    </w:rPr>
  </w:style>
  <w:style w:type="paragraph" w:customStyle="1" w:styleId="52">
    <w:name w:val="Заголовок №5"/>
    <w:basedOn w:val="a"/>
    <w:link w:val="51"/>
    <w:pPr>
      <w:shd w:val="clear" w:color="auto" w:fill="FFFFFF"/>
      <w:ind w:firstLine="520"/>
      <w:outlineLvl w:val="4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62">
    <w:name w:val="Заголовок №6"/>
    <w:basedOn w:val="a"/>
    <w:link w:val="61"/>
    <w:pPr>
      <w:shd w:val="clear" w:color="auto" w:fill="FFFFFF"/>
      <w:ind w:firstLine="540"/>
      <w:outlineLvl w:val="5"/>
    </w:pPr>
    <w:rPr>
      <w:rFonts w:ascii="Lucida Sans Unicode" w:eastAsia="Lucida Sans Unicode" w:hAnsi="Lucida Sans Unicode" w:cs="Lucida Sans Unicode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47C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7C67"/>
    <w:rPr>
      <w:color w:val="000000"/>
    </w:rPr>
  </w:style>
  <w:style w:type="paragraph" w:styleId="ac">
    <w:name w:val="footer"/>
    <w:basedOn w:val="a"/>
    <w:link w:val="ad"/>
    <w:uiPriority w:val="99"/>
    <w:unhideWhenUsed/>
    <w:rsid w:val="00847C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7C67"/>
    <w:rPr>
      <w:color w:val="000000"/>
    </w:rPr>
  </w:style>
  <w:style w:type="paragraph" w:customStyle="1" w:styleId="00">
    <w:name w:val="00"/>
    <w:basedOn w:val="a4"/>
    <w:link w:val="000"/>
    <w:qFormat/>
    <w:rsid w:val="005F0D17"/>
    <w:pPr>
      <w:shd w:val="clear" w:color="auto" w:fill="auto"/>
      <w:spacing w:after="60" w:line="240" w:lineRule="auto"/>
    </w:pPr>
    <w:rPr>
      <w:rFonts w:ascii="Times New Roman" w:eastAsia="Tahoma" w:hAnsi="Times New Roman" w:cs="Times New Roman"/>
      <w:b/>
      <w:bCs/>
      <w:color w:val="042341"/>
      <w:sz w:val="48"/>
      <w:szCs w:val="24"/>
    </w:rPr>
  </w:style>
  <w:style w:type="paragraph" w:customStyle="1" w:styleId="110">
    <w:name w:val="11"/>
    <w:basedOn w:val="12"/>
    <w:link w:val="111"/>
    <w:qFormat/>
    <w:rsid w:val="005F0D17"/>
    <w:pPr>
      <w:keepNext/>
      <w:keepLines/>
      <w:shd w:val="clear" w:color="auto" w:fill="auto"/>
      <w:spacing w:before="240" w:after="120"/>
      <w:ind w:hanging="567"/>
      <w:outlineLvl w:val="9"/>
    </w:pPr>
    <w:rPr>
      <w:rFonts w:ascii="Times New Roman" w:eastAsia="Lucida Sans Unicode" w:hAnsi="Times New Roman" w:cs="Times New Roman"/>
      <w:sz w:val="28"/>
    </w:rPr>
  </w:style>
  <w:style w:type="character" w:customStyle="1" w:styleId="000">
    <w:name w:val="00 Знак"/>
    <w:basedOn w:val="a3"/>
    <w:link w:val="00"/>
    <w:rsid w:val="005F0D17"/>
    <w:rPr>
      <w:rFonts w:ascii="Georgia" w:eastAsia="Tahoma" w:hAnsi="Georgia" w:cs="Georgia"/>
      <w:b/>
      <w:bCs/>
      <w:i w:val="0"/>
      <w:iCs w:val="0"/>
      <w:smallCaps w:val="0"/>
      <w:strike w:val="0"/>
      <w:color w:val="042341"/>
      <w:sz w:val="48"/>
      <w:szCs w:val="22"/>
      <w:u w:val="none"/>
    </w:rPr>
  </w:style>
  <w:style w:type="paragraph" w:customStyle="1" w:styleId="120">
    <w:name w:val="12"/>
    <w:basedOn w:val="22"/>
    <w:link w:val="121"/>
    <w:qFormat/>
    <w:rsid w:val="005F0D17"/>
    <w:pPr>
      <w:keepNext/>
      <w:keepLines/>
      <w:shd w:val="clear" w:color="auto" w:fill="auto"/>
      <w:spacing w:before="240" w:after="120" w:line="240" w:lineRule="auto"/>
      <w:ind w:hanging="567"/>
      <w:outlineLvl w:val="9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111">
    <w:name w:val="11 Знак"/>
    <w:basedOn w:val="11"/>
    <w:link w:val="110"/>
    <w:rsid w:val="005F0D17"/>
    <w:rPr>
      <w:rFonts w:ascii="Tahoma" w:eastAsia="Lucida Sans Unicode" w:hAnsi="Tahoma" w:cs="Tahoma"/>
      <w:b/>
      <w:bCs/>
      <w:i w:val="0"/>
      <w:iCs w:val="0"/>
      <w:smallCaps w:val="0"/>
      <w:strike w:val="0"/>
      <w:color w:val="0082BD"/>
      <w:sz w:val="28"/>
      <w:szCs w:val="24"/>
      <w:u w:val="none"/>
    </w:rPr>
  </w:style>
  <w:style w:type="character" w:customStyle="1" w:styleId="10">
    <w:name w:val="Заголовок 1 Знак"/>
    <w:basedOn w:val="a0"/>
    <w:link w:val="1"/>
    <w:uiPriority w:val="9"/>
    <w:rsid w:val="006E22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21">
    <w:name w:val="12 Знак"/>
    <w:basedOn w:val="21"/>
    <w:link w:val="120"/>
    <w:rsid w:val="005F0D17"/>
    <w:rPr>
      <w:rFonts w:ascii="Arial" w:eastAsia="Lucida Sans Unicode" w:hAnsi="Arial" w:cs="Arial"/>
      <w:b/>
      <w:bCs/>
      <w:i w:val="0"/>
      <w:iCs w:val="0"/>
      <w:smallCaps w:val="0"/>
      <w:strike w:val="0"/>
      <w:color w:val="000000"/>
      <w:sz w:val="20"/>
      <w:szCs w:val="20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6E22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E22D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14">
    <w:name w:val="toc 1"/>
    <w:basedOn w:val="a"/>
    <w:next w:val="a"/>
    <w:autoRedefine/>
    <w:uiPriority w:val="39"/>
    <w:unhideWhenUsed/>
    <w:rsid w:val="004C7DA2"/>
    <w:pPr>
      <w:tabs>
        <w:tab w:val="right" w:leader="dot" w:pos="9063"/>
      </w:tabs>
      <w:spacing w:before="120"/>
      <w:ind w:left="567" w:hanging="567"/>
    </w:pPr>
  </w:style>
  <w:style w:type="paragraph" w:styleId="23">
    <w:name w:val="toc 2"/>
    <w:basedOn w:val="a"/>
    <w:next w:val="a"/>
    <w:autoRedefine/>
    <w:uiPriority w:val="39"/>
    <w:unhideWhenUsed/>
    <w:rsid w:val="004C7DA2"/>
    <w:pPr>
      <w:tabs>
        <w:tab w:val="right" w:leader="dot" w:pos="9063"/>
      </w:tabs>
      <w:ind w:left="993" w:hanging="709"/>
    </w:pPr>
  </w:style>
  <w:style w:type="character" w:styleId="ae">
    <w:name w:val="Hyperlink"/>
    <w:basedOn w:val="a0"/>
    <w:uiPriority w:val="99"/>
    <w:unhideWhenUsed/>
    <w:rsid w:val="006E22D3"/>
    <w:rPr>
      <w:color w:val="0563C1" w:themeColor="hyperlink"/>
      <w:u w:val="single"/>
    </w:rPr>
  </w:style>
  <w:style w:type="paragraph" w:customStyle="1" w:styleId="130">
    <w:name w:val="13"/>
    <w:basedOn w:val="120"/>
    <w:link w:val="131"/>
    <w:qFormat/>
    <w:rsid w:val="006A4A15"/>
    <w:pPr>
      <w:ind w:left="709" w:hanging="709"/>
    </w:pPr>
  </w:style>
  <w:style w:type="paragraph" w:customStyle="1" w:styleId="140">
    <w:name w:val="14"/>
    <w:basedOn w:val="130"/>
    <w:link w:val="141"/>
    <w:qFormat/>
    <w:rsid w:val="00A71700"/>
    <w:pPr>
      <w:ind w:left="851" w:hanging="851"/>
    </w:pPr>
  </w:style>
  <w:style w:type="character" w:customStyle="1" w:styleId="131">
    <w:name w:val="13 Знак"/>
    <w:basedOn w:val="121"/>
    <w:link w:val="130"/>
    <w:rsid w:val="006A4A15"/>
    <w:rPr>
      <w:rFonts w:ascii="Arial" w:eastAsia="Lucida Sans Unicode" w:hAnsi="Arial" w:cs="Arial"/>
      <w:b/>
      <w:bCs/>
      <w:i w:val="0"/>
      <w:iCs w:val="0"/>
      <w:smallCaps w:val="0"/>
      <w:strike w:val="0"/>
      <w:color w:val="000000"/>
      <w:sz w:val="20"/>
      <w:szCs w:val="20"/>
      <w:u w:val="none"/>
    </w:rPr>
  </w:style>
  <w:style w:type="paragraph" w:styleId="33">
    <w:name w:val="toc 3"/>
    <w:basedOn w:val="a"/>
    <w:next w:val="a"/>
    <w:autoRedefine/>
    <w:uiPriority w:val="39"/>
    <w:unhideWhenUsed/>
    <w:rsid w:val="004C7DA2"/>
    <w:pPr>
      <w:tabs>
        <w:tab w:val="right" w:leader="dot" w:pos="9063"/>
      </w:tabs>
      <w:ind w:left="1418" w:hanging="851"/>
    </w:pPr>
  </w:style>
  <w:style w:type="character" w:customStyle="1" w:styleId="141">
    <w:name w:val="14 Знак"/>
    <w:basedOn w:val="131"/>
    <w:link w:val="140"/>
    <w:rsid w:val="00A71700"/>
    <w:rPr>
      <w:rFonts w:ascii="Arial" w:eastAsia="Lucida Sans Unicode" w:hAnsi="Arial" w:cs="Arial"/>
      <w:b/>
      <w:bCs/>
      <w:i w:val="0"/>
      <w:iCs w:val="0"/>
      <w:smallCaps w:val="0"/>
      <w:strike w:val="0"/>
      <w:color w:val="000000"/>
      <w:sz w:val="20"/>
      <w:szCs w:val="20"/>
      <w:u w:val="none"/>
    </w:rPr>
  </w:style>
  <w:style w:type="paragraph" w:styleId="43">
    <w:name w:val="toc 4"/>
    <w:basedOn w:val="a"/>
    <w:next w:val="a"/>
    <w:autoRedefine/>
    <w:uiPriority w:val="39"/>
    <w:unhideWhenUsed/>
    <w:rsid w:val="004C7DA2"/>
    <w:pPr>
      <w:tabs>
        <w:tab w:val="right" w:leader="dot" w:pos="9063"/>
      </w:tabs>
      <w:ind w:left="1843" w:hanging="992"/>
    </w:pPr>
  </w:style>
  <w:style w:type="paragraph" w:styleId="53">
    <w:name w:val="toc 5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63">
    <w:name w:val="toc 6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71">
    <w:name w:val="toc 7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81">
    <w:name w:val="toc 8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91">
    <w:name w:val="toc 9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customStyle="1" w:styleId="1tab">
    <w:name w:val="1tab"/>
    <w:basedOn w:val="a9"/>
    <w:link w:val="1tab0"/>
    <w:qFormat/>
    <w:rsid w:val="00A53073"/>
    <w:pPr>
      <w:keepNext/>
      <w:keepLines/>
      <w:shd w:val="clear" w:color="auto" w:fill="auto"/>
      <w:spacing w:before="240" w:after="12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1fig">
    <w:name w:val="1fig"/>
    <w:basedOn w:val="1tab"/>
    <w:link w:val="1fig0"/>
    <w:qFormat/>
    <w:rsid w:val="00A53073"/>
  </w:style>
  <w:style w:type="character" w:customStyle="1" w:styleId="1tab0">
    <w:name w:val="1tab Знак"/>
    <w:basedOn w:val="a8"/>
    <w:link w:val="1tab"/>
    <w:rsid w:val="00A5307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z w:val="22"/>
      <w:szCs w:val="22"/>
      <w:u w:val="none"/>
    </w:rPr>
  </w:style>
  <w:style w:type="paragraph" w:styleId="af">
    <w:name w:val="Normal (Web)"/>
    <w:basedOn w:val="a"/>
    <w:uiPriority w:val="99"/>
    <w:semiHidden/>
    <w:unhideWhenUsed/>
    <w:rsid w:val="00A53073"/>
    <w:pPr>
      <w:widowControl/>
      <w:spacing w:before="100" w:beforeAutospacing="1" w:after="100" w:afterAutospacing="1"/>
    </w:pPr>
    <w:rPr>
      <w:rFonts w:eastAsiaTheme="minorEastAsia"/>
      <w:color w:val="auto"/>
      <w:lang w:val="ru-RU" w:eastAsia="ru-RU" w:bidi="ar-SA"/>
    </w:rPr>
  </w:style>
  <w:style w:type="character" w:customStyle="1" w:styleId="1fig0">
    <w:name w:val="1fig Знак"/>
    <w:basedOn w:val="1tab0"/>
    <w:link w:val="1fig"/>
    <w:rsid w:val="00A5307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z w:val="22"/>
      <w:szCs w:val="22"/>
      <w:u w:val="none"/>
    </w:rPr>
  </w:style>
  <w:style w:type="paragraph" w:styleId="af0">
    <w:name w:val="footnote text"/>
    <w:basedOn w:val="a"/>
    <w:link w:val="af1"/>
    <w:uiPriority w:val="99"/>
    <w:semiHidden/>
    <w:unhideWhenUsed/>
    <w:rsid w:val="009519D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519D2"/>
    <w:rPr>
      <w:color w:val="000000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519D2"/>
    <w:rPr>
      <w:vertAlign w:val="superscript"/>
    </w:rPr>
  </w:style>
  <w:style w:type="paragraph" w:customStyle="1" w:styleId="1equ">
    <w:name w:val="1equ"/>
    <w:basedOn w:val="1tab"/>
    <w:link w:val="1equ0"/>
    <w:qFormat/>
    <w:rsid w:val="00C80486"/>
  </w:style>
  <w:style w:type="character" w:customStyle="1" w:styleId="1equ0">
    <w:name w:val="1equ Знак"/>
    <w:basedOn w:val="1tab0"/>
    <w:link w:val="1equ"/>
    <w:rsid w:val="00C80486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03B6F-91C6-4879-88BC-01E47984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Sergei Penkevich</cp:lastModifiedBy>
  <cp:revision>9</cp:revision>
  <dcterms:created xsi:type="dcterms:W3CDTF">2022-01-17T05:01:00Z</dcterms:created>
  <dcterms:modified xsi:type="dcterms:W3CDTF">2022-02-18T19:03:00Z</dcterms:modified>
</cp:coreProperties>
</file>