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0A32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222A114F" w14:textId="77777777" w:rsidR="001F0C50" w:rsidRPr="00A3438D" w:rsidRDefault="00B01742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4F337A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Процедура 2 Раздела 10 Руководства ICAR — Предоставление кода производителя</w:t>
      </w:r>
    </w:p>
    <w:p w14:paraId="42E6C1D1" w14:textId="77777777" w:rsidR="005F0D17" w:rsidRPr="00A3438D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29A638A8" w14:textId="77777777" w:rsidR="001F0C50" w:rsidRPr="00A3438D" w:rsidRDefault="00B01742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431">
        <w:rPr>
          <w:rFonts w:ascii="Times New Roman" w:hAnsi="Times New Roman" w:cs="Times New Roman"/>
          <w:color w:val="042341"/>
          <w:sz w:val="24"/>
          <w:szCs w:val="24"/>
          <w:lang w:val="ru"/>
        </w:rPr>
        <w:t>Предоставление кода производителя</w:t>
      </w:r>
    </w:p>
    <w:p w14:paraId="68D854AE" w14:textId="77777777" w:rsidR="001F0C50" w:rsidRPr="00A3438D" w:rsidRDefault="00B01742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4F337A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4E357445" w14:textId="77777777" w:rsidR="0085133C" w:rsidRPr="00A3438D" w:rsidRDefault="00B01742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38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3BA6BD5" w14:textId="77777777" w:rsidR="001F0C50" w:rsidRPr="005F0D17" w:rsidRDefault="00B01742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51C7B261" w14:textId="77777777" w:rsidR="005F0D17" w:rsidRPr="005F0D17" w:rsidRDefault="00B01742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2D504520" wp14:editId="7B78B93C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75131192" w14:textId="77777777" w:rsidR="003660B5" w:rsidRPr="00A3438D" w:rsidRDefault="00B01742" w:rsidP="003660B5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b/>
          <w:bCs/>
          <w:noProof/>
          <w:lang w:val="ru"/>
        </w:rPr>
        <w:t>1</w:t>
      </w:r>
      <w:r w:rsidRPr="005A3536">
        <w:rPr>
          <w:rFonts w:eastAsia="Arial"/>
          <w:b/>
          <w:bCs/>
          <w:noProof/>
          <w:lang w:val="ru"/>
        </w:rPr>
        <w:tab/>
        <w:t>Введение</w:t>
      </w:r>
      <w:r w:rsidRPr="005A3536">
        <w:rPr>
          <w:rFonts w:eastAsia="Arial"/>
          <w:b/>
          <w:bCs/>
          <w:noProof/>
          <w:lang w:val="ru"/>
        </w:rPr>
        <w:tab/>
        <w:t>3</w:t>
      </w:r>
    </w:p>
    <w:p w14:paraId="7796022D" w14:textId="77777777" w:rsidR="003660B5" w:rsidRPr="00A3438D" w:rsidRDefault="00B01742" w:rsidP="003660B5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b/>
          <w:bCs/>
          <w:noProof/>
          <w:lang w:val="ru"/>
        </w:rPr>
        <w:t>2</w:t>
      </w:r>
      <w:r w:rsidRPr="005A3536">
        <w:rPr>
          <w:rFonts w:eastAsia="Arial"/>
          <w:b/>
          <w:bCs/>
          <w:noProof/>
          <w:lang w:val="ru"/>
        </w:rPr>
        <w:tab/>
        <w:t>Применение общего и уникального кода производителя</w:t>
      </w:r>
      <w:r w:rsidRPr="005A3536">
        <w:rPr>
          <w:rFonts w:eastAsia="Arial"/>
          <w:b/>
          <w:bCs/>
          <w:noProof/>
          <w:lang w:val="ru"/>
        </w:rPr>
        <w:tab/>
        <w:t>3</w:t>
      </w:r>
    </w:p>
    <w:p w14:paraId="50DE672A" w14:textId="77777777" w:rsidR="003660B5" w:rsidRPr="00A3438D" w:rsidRDefault="00B01742" w:rsidP="003660B5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noProof/>
          <w:lang w:val="ru"/>
        </w:rPr>
        <w:t>2.1</w:t>
      </w:r>
      <w:r w:rsidRPr="005A3536">
        <w:rPr>
          <w:rFonts w:eastAsia="Arial"/>
          <w:noProof/>
          <w:lang w:val="ru"/>
        </w:rPr>
        <w:tab/>
        <w:t xml:space="preserve">Общий код </w:t>
      </w:r>
      <w:r w:rsidRPr="005A3536">
        <w:rPr>
          <w:rFonts w:eastAsia="Arial"/>
          <w:noProof/>
          <w:lang w:val="ru"/>
        </w:rPr>
        <w:t>производителя</w:t>
      </w:r>
      <w:r w:rsidRPr="005A3536">
        <w:rPr>
          <w:rFonts w:eastAsia="Arial"/>
          <w:noProof/>
          <w:lang w:val="ru"/>
        </w:rPr>
        <w:tab/>
        <w:t>3</w:t>
      </w:r>
    </w:p>
    <w:p w14:paraId="7F28A8F8" w14:textId="77777777" w:rsidR="003660B5" w:rsidRPr="00A3438D" w:rsidRDefault="00B01742" w:rsidP="003660B5">
      <w:pPr>
        <w:pStyle w:val="23"/>
        <w:ind w:right="567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noProof/>
          <w:lang w:val="ru"/>
        </w:rPr>
        <w:t>2.2</w:t>
      </w:r>
      <w:r w:rsidRPr="005A3536">
        <w:rPr>
          <w:rFonts w:eastAsia="Arial"/>
          <w:noProof/>
          <w:lang w:val="ru"/>
        </w:rPr>
        <w:tab/>
        <w:t>Уникальный код производителя</w:t>
      </w:r>
      <w:r w:rsidRPr="005A3536">
        <w:rPr>
          <w:rFonts w:eastAsia="Arial"/>
          <w:noProof/>
          <w:lang w:val="ru"/>
        </w:rPr>
        <w:tab/>
        <w:t>3</w:t>
      </w:r>
    </w:p>
    <w:p w14:paraId="55E735D1" w14:textId="77777777" w:rsidR="003660B5" w:rsidRPr="00A3438D" w:rsidRDefault="00B01742" w:rsidP="003660B5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b/>
          <w:bCs/>
          <w:noProof/>
          <w:lang w:val="ru"/>
        </w:rPr>
        <w:t>3</w:t>
      </w:r>
      <w:r w:rsidRPr="005A3536">
        <w:rPr>
          <w:rFonts w:eastAsia="Arial"/>
          <w:b/>
          <w:bCs/>
          <w:noProof/>
          <w:lang w:val="ru"/>
        </w:rPr>
        <w:tab/>
        <w:t>Процедура применения кода производителя</w:t>
      </w:r>
      <w:r w:rsidRPr="005A3536">
        <w:rPr>
          <w:rFonts w:eastAsia="Arial"/>
          <w:b/>
          <w:bCs/>
          <w:noProof/>
          <w:lang w:val="ru"/>
        </w:rPr>
        <w:tab/>
        <w:t>3</w:t>
      </w:r>
    </w:p>
    <w:p w14:paraId="2208795B" w14:textId="77777777" w:rsidR="003660B5" w:rsidRPr="00A3438D" w:rsidRDefault="00B01742" w:rsidP="003660B5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b/>
          <w:bCs/>
          <w:noProof/>
          <w:lang w:val="ru"/>
        </w:rPr>
        <w:t>4</w:t>
      </w:r>
      <w:r w:rsidRPr="005A3536">
        <w:rPr>
          <w:rFonts w:eastAsia="Arial"/>
          <w:b/>
          <w:bCs/>
          <w:noProof/>
          <w:lang w:val="ru"/>
        </w:rPr>
        <w:tab/>
        <w:t>Условия для получения права на использование кода производителя</w:t>
      </w:r>
      <w:r w:rsidRPr="005A3536">
        <w:rPr>
          <w:rFonts w:eastAsia="Arial"/>
          <w:b/>
          <w:bCs/>
          <w:noProof/>
          <w:lang w:val="ru"/>
        </w:rPr>
        <w:tab/>
        <w:t>4</w:t>
      </w:r>
    </w:p>
    <w:p w14:paraId="3A245726" w14:textId="77777777" w:rsidR="003660B5" w:rsidRPr="00A3438D" w:rsidRDefault="00B01742" w:rsidP="003660B5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5A3536">
        <w:rPr>
          <w:rFonts w:eastAsia="Arial"/>
          <w:b/>
          <w:bCs/>
          <w:noProof/>
          <w:lang w:val="ru"/>
        </w:rPr>
        <w:t>5</w:t>
      </w:r>
      <w:r w:rsidRPr="005A3536">
        <w:rPr>
          <w:rFonts w:eastAsia="Arial"/>
          <w:b/>
          <w:bCs/>
          <w:noProof/>
          <w:lang w:val="ru"/>
        </w:rPr>
        <w:tab/>
        <w:t>Использование кодов производителей и кодов стран</w:t>
      </w:r>
      <w:r w:rsidRPr="005A3536">
        <w:rPr>
          <w:rFonts w:eastAsia="Arial"/>
          <w:b/>
          <w:bCs/>
          <w:noProof/>
          <w:lang w:val="ru"/>
        </w:rPr>
        <w:tab/>
        <w:t>4</w:t>
      </w:r>
    </w:p>
    <w:p w14:paraId="1F302466" w14:textId="77777777" w:rsidR="004C7DA2" w:rsidRPr="00A3438D" w:rsidRDefault="004C7DA2" w:rsidP="007A0431">
      <w:pPr>
        <w:spacing w:after="360"/>
        <w:rPr>
          <w:lang w:val="ru-RU"/>
        </w:rPr>
      </w:pPr>
    </w:p>
    <w:p w14:paraId="14F11D7F" w14:textId="77777777" w:rsidR="0056063D" w:rsidRPr="00847C67" w:rsidRDefault="00B01742" w:rsidP="00A00221">
      <w:pPr>
        <w:pStyle w:val="00"/>
      </w:pPr>
      <w:r w:rsidRPr="0056063D">
        <w:rPr>
          <w:lang w:val="ru"/>
        </w:rPr>
        <w:t>Сводка изменений</w:t>
      </w:r>
    </w:p>
    <w:p w14:paraId="01054CB5" w14:textId="77777777" w:rsidR="0056063D" w:rsidRDefault="00B01742" w:rsidP="007A0431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6167201E" wp14:editId="4C47F956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435C7EBD" w14:textId="77777777" w:rsidR="007A0431" w:rsidRPr="007A0431" w:rsidRDefault="007A0431" w:rsidP="007A0431"/>
    <w:tbl>
      <w:tblPr>
        <w:tblOverlap w:val="never"/>
        <w:tblW w:w="9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101"/>
      </w:tblGrid>
      <w:tr w:rsidR="002A217F" w14:paraId="7BEF25EF" w14:textId="77777777" w:rsidTr="00A3438D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70156" w14:textId="77777777" w:rsidR="001F0C50" w:rsidRPr="003660B5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660B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 xml:space="preserve">Дата </w:t>
            </w:r>
            <w:r w:rsidRPr="003660B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изменения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1C07" w14:textId="77777777" w:rsidR="001F0C50" w:rsidRPr="003660B5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660B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Характер изменения</w:t>
            </w:r>
          </w:p>
        </w:tc>
      </w:tr>
      <w:tr w:rsidR="002A217F" w14:paraId="23CBCC4F" w14:textId="77777777" w:rsidTr="00A3438D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F4986" w14:textId="77777777" w:rsidR="001F0C50" w:rsidRPr="003660B5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Сентябрь 2017 г.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44B5C" w14:textId="77777777" w:rsidR="001F0C50" w:rsidRPr="003660B5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Добавлен шаблон.</w:t>
            </w:r>
          </w:p>
        </w:tc>
      </w:tr>
      <w:tr w:rsidR="002A217F" w:rsidRPr="00A3438D" w14:paraId="2CCE3380" w14:textId="77777777" w:rsidTr="00A3438D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9BBE7" w14:textId="77777777" w:rsidR="001F0C50" w:rsidRPr="003660B5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Октябрь 2017 г.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A7883" w14:textId="77777777" w:rsidR="001F0C50" w:rsidRPr="00A3438D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Версия обновлена по состоянию на октябрь 2017 г. Исправлены перекрестные ссылки.</w:t>
            </w:r>
          </w:p>
        </w:tc>
      </w:tr>
      <w:tr w:rsidR="002A217F" w:rsidRPr="00A3438D" w14:paraId="64A1A39B" w14:textId="77777777" w:rsidTr="00A343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A7D47" w14:textId="77777777" w:rsidR="001F0C50" w:rsidRPr="003660B5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Февраль 2018 г.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50D72" w14:textId="77777777" w:rsidR="001F0C50" w:rsidRPr="00A3438D" w:rsidRDefault="00B01742" w:rsidP="003660B5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 xml:space="preserve">В субботу, 10 февраля, изменения были одобрены Генеральной </w:t>
            </w:r>
            <w:r w:rsidRPr="003660B5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Ассамблеей ICAR в Окленде (Новая Зеландия).</w:t>
            </w:r>
          </w:p>
        </w:tc>
      </w:tr>
    </w:tbl>
    <w:p w14:paraId="280E5F4E" w14:textId="77777777" w:rsidR="00817293" w:rsidRPr="00A3438D" w:rsidRDefault="00B01742" w:rsidP="00817293">
      <w:pPr>
        <w:spacing w:after="120"/>
        <w:jc w:val="both"/>
        <w:rPr>
          <w:lang w:val="ru-RU"/>
        </w:rPr>
      </w:pPr>
      <w:bookmarkStart w:id="0" w:name="bookmark1363"/>
      <w:bookmarkStart w:id="1" w:name="bookmark1362"/>
      <w:r w:rsidRPr="00A3438D">
        <w:rPr>
          <w:lang w:val="ru-RU"/>
        </w:rPr>
        <w:br w:type="page"/>
      </w:r>
    </w:p>
    <w:p w14:paraId="4A6AFFB0" w14:textId="77777777" w:rsidR="001F0C50" w:rsidRPr="00A3438D" w:rsidRDefault="00B01742" w:rsidP="003660B5">
      <w:pPr>
        <w:pStyle w:val="110"/>
        <w:rPr>
          <w:lang w:val="ru-RU"/>
        </w:rPr>
      </w:pPr>
      <w:bookmarkStart w:id="2" w:name="_Toc93300423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Введение</w:t>
      </w:r>
      <w:bookmarkEnd w:id="0"/>
      <w:bookmarkEnd w:id="1"/>
      <w:bookmarkEnd w:id="2"/>
    </w:p>
    <w:p w14:paraId="05DFE04D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1364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Согласно ISO 11784, «... </w:t>
      </w:r>
      <w:r w:rsidRPr="00847C67">
        <w:rPr>
          <w:rFonts w:ascii="Times New Roman" w:hAnsi="Times New Roman" w:cs="Times New Roman"/>
          <w:i/>
          <w:iCs/>
          <w:sz w:val="24"/>
          <w:szCs w:val="24"/>
          <w:lang w:val="ru"/>
        </w:rPr>
        <w:t>обеспечение уникальности национального идентификационного кода является обязанностью соответствующего государства».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В тех случаях, когда страны не установили процедуры присвоения и регистрации национального идентификационного кода, вместо кода страны должен использоваться код производителя, чтобы обеспечить уникальность идентификационных кодов во всем мире. ISO назначи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ла ICAR регистрирующим органом (РО) по присвоению кодов производителей в соответствии с ISO 11784.</w:t>
      </w:r>
      <w:bookmarkEnd w:id="3"/>
    </w:p>
    <w:p w14:paraId="78ACA9E2" w14:textId="77777777" w:rsidR="001F0C50" w:rsidRPr="00A3438D" w:rsidRDefault="00B01742" w:rsidP="003660B5">
      <w:pPr>
        <w:pStyle w:val="110"/>
        <w:rPr>
          <w:lang w:val="ru-RU"/>
        </w:rPr>
      </w:pPr>
      <w:bookmarkStart w:id="4" w:name="bookmark1365"/>
      <w:bookmarkStart w:id="5" w:name="_Toc93300424"/>
      <w:r w:rsidRPr="00847C67">
        <w:rPr>
          <w:lang w:val="ru"/>
        </w:rPr>
        <w:t>2</w:t>
      </w:r>
      <w:r w:rsidRPr="00847C67">
        <w:rPr>
          <w:lang w:val="ru"/>
        </w:rPr>
        <w:tab/>
        <w:t>Применение общего и уникального кода производителя</w:t>
      </w:r>
      <w:bookmarkEnd w:id="4"/>
      <w:bookmarkEnd w:id="5"/>
    </w:p>
    <w:p w14:paraId="12FE40FC" w14:textId="77777777" w:rsidR="001F0C50" w:rsidRPr="00A3438D" w:rsidRDefault="00B01742" w:rsidP="003660B5">
      <w:pPr>
        <w:pStyle w:val="120"/>
        <w:rPr>
          <w:lang w:val="ru-RU"/>
        </w:rPr>
      </w:pPr>
      <w:bookmarkStart w:id="6" w:name="bookmark1367"/>
      <w:bookmarkStart w:id="7" w:name="bookmark1366"/>
      <w:bookmarkStart w:id="8" w:name="_Toc93300425"/>
      <w:r w:rsidRPr="00847C67">
        <w:rPr>
          <w:lang w:val="ru"/>
        </w:rPr>
        <w:t>2.1</w:t>
      </w:r>
      <w:r w:rsidRPr="00847C67">
        <w:rPr>
          <w:lang w:val="ru"/>
        </w:rPr>
        <w:tab/>
        <w:t>Общий код производителя</w:t>
      </w:r>
      <w:bookmarkEnd w:id="6"/>
      <w:bookmarkEnd w:id="7"/>
      <w:bookmarkEnd w:id="8"/>
    </w:p>
    <w:p w14:paraId="3F0FBD04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Код производителя может быть предоставлен более чем одному производителю, та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кой код известен как общий код производителя. Общий код производителя может быть предоставлен ICAR в качестве РО, если RFID-устройство производителя успешно прошло полное испытание на соответствие. При предоставлении общего кода производителя, ICAR в качес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тве РО также выделяет ограниченный набор идентификационных кодов для исключительного использования с общим кодом производителя. Идентификационные коды, присвоенные в сочетании с общим кодом производителя, являются уникальными. ICAR в качестве РО должен обе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спечить эту уникальность, применяя соответствующие процедуры для присвоения и регистрации назначенных идентификационных кодов. При необходимости производителю по его запросу могут быть присвоены дополнительные наборы идентификационных кодов. Размер наборов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выделяемых идентификационных кодов определяется по согласованию между производителем и ICAR.</w:t>
      </w:r>
    </w:p>
    <w:p w14:paraId="59D32881" w14:textId="77777777" w:rsidR="001F0C50" w:rsidRPr="00A3438D" w:rsidRDefault="00B01742" w:rsidP="003660B5">
      <w:pPr>
        <w:pStyle w:val="120"/>
        <w:rPr>
          <w:lang w:val="ru-RU"/>
        </w:rPr>
      </w:pPr>
      <w:bookmarkStart w:id="9" w:name="bookmark1369"/>
      <w:bookmarkStart w:id="10" w:name="bookmark1368"/>
      <w:bookmarkStart w:id="11" w:name="_Toc93300426"/>
      <w:r w:rsidRPr="00847C67">
        <w:rPr>
          <w:lang w:val="ru"/>
        </w:rPr>
        <w:t>2.2</w:t>
      </w:r>
      <w:r w:rsidRPr="00847C67">
        <w:rPr>
          <w:lang w:val="ru"/>
        </w:rPr>
        <w:tab/>
        <w:t>Уникальный код производителя</w:t>
      </w:r>
      <w:bookmarkEnd w:id="9"/>
      <w:bookmarkEnd w:id="10"/>
      <w:bookmarkEnd w:id="11"/>
    </w:p>
    <w:p w14:paraId="14C5C5D7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ookmark1370"/>
      <w:r w:rsidRPr="00847C67">
        <w:rPr>
          <w:rFonts w:ascii="Times New Roman" w:hAnsi="Times New Roman" w:cs="Times New Roman"/>
          <w:sz w:val="24"/>
          <w:szCs w:val="24"/>
          <w:lang w:val="ru"/>
        </w:rPr>
        <w:t>Уникальный код производителя присваивается только производителю, который предоставит в регистрирующий орган подтверждение того фа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кта, что в течение двух лет подряд компания продавала не менее одного миллиона (сертифицированных ICAR) транспондеров в год. Это подтверждение должно быть получено на основании учетной продажной документации компании и заверено их внешним аудитором или нот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ариусом.</w:t>
      </w:r>
      <w:bookmarkEnd w:id="12"/>
    </w:p>
    <w:p w14:paraId="02438EF1" w14:textId="77777777" w:rsidR="001F0C50" w:rsidRPr="00A3438D" w:rsidRDefault="00B01742" w:rsidP="003660B5">
      <w:pPr>
        <w:pStyle w:val="110"/>
        <w:rPr>
          <w:lang w:val="ru-RU"/>
        </w:rPr>
      </w:pPr>
      <w:bookmarkStart w:id="13" w:name="bookmark1371"/>
      <w:bookmarkStart w:id="14" w:name="_Toc93300427"/>
      <w:r w:rsidRPr="00847C67">
        <w:rPr>
          <w:lang w:val="ru"/>
        </w:rPr>
        <w:t>3</w:t>
      </w:r>
      <w:r w:rsidRPr="00847C67">
        <w:rPr>
          <w:lang w:val="ru"/>
        </w:rPr>
        <w:tab/>
        <w:t>Процедура применения кода производителя</w:t>
      </w:r>
      <w:bookmarkEnd w:id="13"/>
      <w:bookmarkEnd w:id="14"/>
    </w:p>
    <w:p w14:paraId="74CF721D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Производитель, который впервые подает заявку на проверку соответствия и сертификацию устройства RFID, должен также подать заявку на получение кода производителя и подписать «Кодекс деловой этики».</w:t>
      </w:r>
    </w:p>
    <w:p w14:paraId="5559B613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Первая з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аявка на полные испытания должна включать письмо, заполненную форму заявки на испытание (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Приложение A1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), заполненную форму заявки на код производителя (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Приложение A2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 и подписанный «Кодекс деловой этики» (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Приложение A3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). Подписав форму заявки 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кодекс деловой этики, производитель соглашается соблюдать условия, описанные в этом документе, и взять на себя оплату за эту процедуру.</w:t>
      </w:r>
    </w:p>
    <w:p w14:paraId="6DAAEB43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Заполненную заявку необходимо отправить по электронной почте в формате PDF в секретариат Службы ICAR. Адрес электронной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почты секретариата Службы ICAR: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>manufacturers@icar.org</w:t>
      </w:r>
    </w:p>
    <w:p w14:paraId="51106CEA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Секретариат Service-ICAR проинформирует производителя о принятии или отклонении его заявки. Копия этого сообщения также отправляется в секретариат ISO/TC23/SC19/WG3.</w:t>
      </w:r>
    </w:p>
    <w:p w14:paraId="7E2F2558" w14:textId="77777777" w:rsidR="00817293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ICAR ведет публичный реестр, в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котором перечислены все зарегистрированные производители и предоставленные общие/уникальные коды производителей.</w:t>
      </w:r>
    </w:p>
    <w:p w14:paraId="71B8A716" w14:textId="77777777" w:rsidR="001F0C50" w:rsidRPr="00A3438D" w:rsidRDefault="00B01742" w:rsidP="003660B5">
      <w:pPr>
        <w:pStyle w:val="110"/>
        <w:rPr>
          <w:lang w:val="ru-RU"/>
        </w:rPr>
      </w:pPr>
      <w:bookmarkStart w:id="15" w:name="bookmark1373"/>
      <w:bookmarkStart w:id="16" w:name="bookmark1372"/>
      <w:bookmarkStart w:id="17" w:name="_Toc93300428"/>
      <w:r w:rsidRPr="00847C67">
        <w:rPr>
          <w:lang w:val="ru"/>
        </w:rPr>
        <w:t>4</w:t>
      </w:r>
      <w:r w:rsidRPr="00847C67">
        <w:rPr>
          <w:lang w:val="ru"/>
        </w:rPr>
        <w:tab/>
        <w:t>Условия для получения права на использование кода производителя</w:t>
      </w:r>
      <w:bookmarkEnd w:id="15"/>
      <w:bookmarkEnd w:id="16"/>
      <w:bookmarkEnd w:id="17"/>
    </w:p>
    <w:p w14:paraId="53EEFC97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Производитель может использовать свой код производителя только для продуктов,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зарегистрированных ICAR в качестве РО.</w:t>
      </w:r>
    </w:p>
    <w:p w14:paraId="125D019A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спорах, касающихся условий использования кода производителя, решения ISO/TC 23/SC19 имеют обязательную силу.</w:t>
      </w:r>
    </w:p>
    <w:p w14:paraId="15133522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ookmark1374"/>
      <w:r w:rsidRPr="00847C67">
        <w:rPr>
          <w:rFonts w:ascii="Times New Roman" w:hAnsi="Times New Roman" w:cs="Times New Roman"/>
          <w:sz w:val="24"/>
          <w:szCs w:val="24"/>
          <w:lang w:val="ru"/>
        </w:rPr>
        <w:t>Для дополнительной информации можно загрузить ISO 11784 с веб-сайта ISO (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www.iso.org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).</w:t>
      </w:r>
      <w:bookmarkEnd w:id="18"/>
    </w:p>
    <w:p w14:paraId="1CEA1812" w14:textId="77777777" w:rsidR="001F0C50" w:rsidRPr="00A3438D" w:rsidRDefault="00B01742" w:rsidP="003660B5">
      <w:pPr>
        <w:pStyle w:val="110"/>
        <w:rPr>
          <w:lang w:val="ru-RU"/>
        </w:rPr>
      </w:pPr>
      <w:bookmarkStart w:id="19" w:name="bookmark1375"/>
      <w:bookmarkStart w:id="20" w:name="_Toc93300429"/>
      <w:r w:rsidRPr="00847C67">
        <w:rPr>
          <w:lang w:val="ru"/>
        </w:rPr>
        <w:t>5</w:t>
      </w:r>
      <w:r w:rsidRPr="00847C67">
        <w:rPr>
          <w:lang w:val="ru"/>
        </w:rPr>
        <w:tab/>
        <w:t>Использование ко</w:t>
      </w:r>
      <w:r w:rsidRPr="00847C67">
        <w:rPr>
          <w:lang w:val="ru"/>
        </w:rPr>
        <w:t>дов производителей и кодов стран</w:t>
      </w:r>
      <w:bookmarkEnd w:id="19"/>
      <w:bookmarkEnd w:id="20"/>
    </w:p>
    <w:p w14:paraId="5BAA1F4A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Коды производителей (серии 900-998) следует использовать только в отношении устройств электронной идентификации (RFID), в соответствии со стандартом ISO 11784 и разделом 10 настоящего Руководства, включая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Приложение A3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Коде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кса деловой этики.</w:t>
      </w:r>
    </w:p>
    <w:p w14:paraId="287F2EEE" w14:textId="77777777" w:rsidR="001F0C50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Если компетентный национальный орган взял на себя ответственность за обеспечение и поддержание уникальности идентификационного кода RFID для конкретных видов животных в этой стране, вместо кода производителя в электронной идентификации 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ли RFID данного конкретного вида животных может быть использован трехзначный цифровой код страны по ISO 3166.</w:t>
      </w:r>
    </w:p>
    <w:p w14:paraId="32381A28" w14:textId="77777777" w:rsidR="00B05E6A" w:rsidRPr="00A3438D" w:rsidRDefault="00B01742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Не рекомендуется использовать коды производителей в рамках международной идентификации, применяемой для целей генетической оценки (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Раздел 9 — Гене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тическая оценка молочного скота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).</w:t>
      </w:r>
    </w:p>
    <w:sectPr w:rsidR="00B05E6A" w:rsidRPr="00A3438D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4FF3" w14:textId="77777777" w:rsidR="00B01742" w:rsidRDefault="00B01742">
      <w:r>
        <w:separator/>
      </w:r>
    </w:p>
  </w:endnote>
  <w:endnote w:type="continuationSeparator" w:id="0">
    <w:p w14:paraId="4C77BFC3" w14:textId="77777777" w:rsidR="00B01742" w:rsidRDefault="00B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C3D2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2A217F" w:rsidRPr="00A3438D" w14:paraId="7AF6352F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70084F30" w14:textId="77777777" w:rsidR="005F0D17" w:rsidRPr="005F0D17" w:rsidRDefault="00B01742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6DC22C6F" wp14:editId="4D2F7E4F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66308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09D2E70B" w14:textId="77777777" w:rsidR="005F0D17" w:rsidRPr="00A3438D" w:rsidRDefault="00B01742" w:rsidP="00CA32C8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4F337A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Предоставление кода производителя — Страница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7A0431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4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4F337A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 xml:space="preserve">NUMPAGES  \* 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7A0431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4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4F337A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2A217F" w:rsidRPr="00A3438D" w14:paraId="1D6BF058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52634203" w14:textId="77777777" w:rsidR="005F0D17" w:rsidRPr="00A3438D" w:rsidRDefault="005F0D17" w:rsidP="005F0D17">
          <w:pPr>
            <w:spacing w:before="20" w:after="20"/>
            <w:ind w:left="57" w:right="57"/>
            <w:rPr>
              <w:sz w:val="20"/>
              <w:szCs w:val="20"/>
              <w:lang w:val="ru-RU"/>
            </w:rPr>
          </w:pPr>
        </w:p>
      </w:tc>
      <w:tc>
        <w:tcPr>
          <w:tcW w:w="8491" w:type="dxa"/>
          <w:shd w:val="clear" w:color="auto" w:fill="FFFFFF"/>
        </w:tcPr>
        <w:p w14:paraId="44E84355" w14:textId="77777777" w:rsidR="005F0D17" w:rsidRPr="00A3438D" w:rsidRDefault="005F0D17" w:rsidP="005F0D17">
          <w:pPr>
            <w:spacing w:before="20" w:after="20"/>
            <w:ind w:left="57" w:right="57"/>
            <w:rPr>
              <w:sz w:val="20"/>
              <w:szCs w:val="20"/>
              <w:lang w:val="ru-RU"/>
            </w:rPr>
          </w:pPr>
        </w:p>
      </w:tc>
    </w:tr>
  </w:tbl>
  <w:p w14:paraId="50F018FD" w14:textId="77777777" w:rsidR="005F0D17" w:rsidRPr="00A3438D" w:rsidRDefault="005F0D17">
    <w:pPr>
      <w:pStyle w:val="ac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F011" w14:textId="77777777" w:rsidR="00847C67" w:rsidRDefault="00847C67" w:rsidP="00847C67">
    <w:pPr>
      <w:pStyle w:val="ac"/>
    </w:pPr>
  </w:p>
  <w:p w14:paraId="00EB9C2A" w14:textId="77777777" w:rsidR="00847C67" w:rsidRPr="00847C67" w:rsidRDefault="00B01742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69D29E85" w14:textId="77777777" w:rsidR="00847C67" w:rsidRPr="005F0D17" w:rsidRDefault="00B01742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6D517EEF" wp14:editId="6A7F9B72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003174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3C7B51BC" wp14:editId="61FB73A9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1781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ECB1" w14:textId="77777777" w:rsidR="00B01742" w:rsidRDefault="00B01742">
      <w:r>
        <w:separator/>
      </w:r>
    </w:p>
  </w:footnote>
  <w:footnote w:type="continuationSeparator" w:id="0">
    <w:p w14:paraId="1507A2E6" w14:textId="77777777" w:rsidR="00B01742" w:rsidRDefault="00B0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2A217F" w:rsidRPr="00A3438D" w14:paraId="395DBCAE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3139DEF0" w14:textId="77777777" w:rsidR="004F337A" w:rsidRPr="00A3438D" w:rsidRDefault="00B01742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4F337A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Процедура 2 Раздела 10</w:t>
          </w:r>
        </w:p>
        <w:p w14:paraId="142A7156" w14:textId="77777777" w:rsidR="004F337A" w:rsidRPr="00A3438D" w:rsidRDefault="00B01742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4F337A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Предоставление кода производителя</w:t>
          </w:r>
        </w:p>
        <w:p w14:paraId="3B4AA30B" w14:textId="77777777" w:rsidR="005F0D17" w:rsidRPr="00A3438D" w:rsidRDefault="00B01742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4F337A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5C1C3753" w14:textId="77777777" w:rsidR="005F0D17" w:rsidRPr="00A3438D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709"/>
    </w:tblGrid>
    <w:tr w:rsidR="002A217F" w:rsidRPr="00A3438D" w14:paraId="0DE54E14" w14:textId="77777777" w:rsidTr="00A3438D">
      <w:tc>
        <w:tcPr>
          <w:tcW w:w="1536" w:type="dxa"/>
          <w:shd w:val="clear" w:color="auto" w:fill="FFFFFF"/>
          <w:vAlign w:val="center"/>
        </w:tcPr>
        <w:p w14:paraId="3D17974B" w14:textId="77777777" w:rsidR="00847C67" w:rsidRPr="00847C67" w:rsidRDefault="00B01742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320D6A67" wp14:editId="47B7B2C1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557199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9" w:type="dxa"/>
          <w:shd w:val="clear" w:color="auto" w:fill="FFFFFF"/>
          <w:vAlign w:val="center"/>
        </w:tcPr>
        <w:p w14:paraId="4D13DBD5" w14:textId="77777777" w:rsidR="00847C67" w:rsidRPr="00A3438D" w:rsidRDefault="00B01742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30F1049F" w14:textId="77777777" w:rsidR="00847C67" w:rsidRPr="00A3438D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300EB"/>
    <w:rsid w:val="000A66B0"/>
    <w:rsid w:val="000C51AE"/>
    <w:rsid w:val="000F5F45"/>
    <w:rsid w:val="00130640"/>
    <w:rsid w:val="00144310"/>
    <w:rsid w:val="001809CE"/>
    <w:rsid w:val="001E781F"/>
    <w:rsid w:val="001F0C50"/>
    <w:rsid w:val="002212E4"/>
    <w:rsid w:val="00291AEA"/>
    <w:rsid w:val="002A217F"/>
    <w:rsid w:val="002D7837"/>
    <w:rsid w:val="003660B5"/>
    <w:rsid w:val="003D6572"/>
    <w:rsid w:val="004C7DA2"/>
    <w:rsid w:val="004D7D31"/>
    <w:rsid w:val="004F337A"/>
    <w:rsid w:val="004F4F14"/>
    <w:rsid w:val="0056063D"/>
    <w:rsid w:val="00586D79"/>
    <w:rsid w:val="005A3536"/>
    <w:rsid w:val="005B428C"/>
    <w:rsid w:val="005E2195"/>
    <w:rsid w:val="005F0D17"/>
    <w:rsid w:val="005F6243"/>
    <w:rsid w:val="006027EC"/>
    <w:rsid w:val="00610D16"/>
    <w:rsid w:val="006420D6"/>
    <w:rsid w:val="006A4A15"/>
    <w:rsid w:val="006E22D3"/>
    <w:rsid w:val="00716554"/>
    <w:rsid w:val="0077235D"/>
    <w:rsid w:val="00792D9D"/>
    <w:rsid w:val="007A0431"/>
    <w:rsid w:val="00817293"/>
    <w:rsid w:val="008217E2"/>
    <w:rsid w:val="00847C67"/>
    <w:rsid w:val="0085133C"/>
    <w:rsid w:val="00867E7E"/>
    <w:rsid w:val="00871291"/>
    <w:rsid w:val="009212D4"/>
    <w:rsid w:val="009519D2"/>
    <w:rsid w:val="00A00221"/>
    <w:rsid w:val="00A3438D"/>
    <w:rsid w:val="00A53073"/>
    <w:rsid w:val="00A71700"/>
    <w:rsid w:val="00AB7455"/>
    <w:rsid w:val="00B01742"/>
    <w:rsid w:val="00B05E6A"/>
    <w:rsid w:val="00B50317"/>
    <w:rsid w:val="00B66435"/>
    <w:rsid w:val="00B671F2"/>
    <w:rsid w:val="00B74687"/>
    <w:rsid w:val="00BB5CBD"/>
    <w:rsid w:val="00BE5F0C"/>
    <w:rsid w:val="00C029E8"/>
    <w:rsid w:val="00C3310C"/>
    <w:rsid w:val="00C42F2E"/>
    <w:rsid w:val="00C76436"/>
    <w:rsid w:val="00C80486"/>
    <w:rsid w:val="00CA32C8"/>
    <w:rsid w:val="00CA6CD8"/>
    <w:rsid w:val="00D434C8"/>
    <w:rsid w:val="00D70038"/>
    <w:rsid w:val="00DB0CBB"/>
    <w:rsid w:val="00DD05CD"/>
    <w:rsid w:val="00DE2333"/>
    <w:rsid w:val="00E8018A"/>
    <w:rsid w:val="00EC7706"/>
    <w:rsid w:val="00EF1017"/>
    <w:rsid w:val="00F07C0A"/>
    <w:rsid w:val="00F153E4"/>
    <w:rsid w:val="00F26CE5"/>
    <w:rsid w:val="00F33BE6"/>
    <w:rsid w:val="00F348F1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AF98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8211-2D57-4425-8F33-1B39548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8</cp:revision>
  <dcterms:created xsi:type="dcterms:W3CDTF">2022-01-17T05:07:00Z</dcterms:created>
  <dcterms:modified xsi:type="dcterms:W3CDTF">2022-02-18T19:04:00Z</dcterms:modified>
</cp:coreProperties>
</file>