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9F2B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1D2C1B46" w14:textId="77777777" w:rsidR="001F0C50" w:rsidRPr="0020290C" w:rsidRDefault="00AD1755" w:rsidP="009A15C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BE5F0C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Раздел 12 — Руководство по анализу молока</w:t>
      </w:r>
    </w:p>
    <w:p w14:paraId="401F206D" w14:textId="77777777" w:rsidR="005F0D17" w:rsidRPr="0020290C" w:rsidRDefault="005F0D17" w:rsidP="009A15C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052BC0D4" w14:textId="77777777" w:rsidR="001F0C50" w:rsidRPr="0020290C" w:rsidRDefault="00AD1755" w:rsidP="009A15C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8E7">
        <w:rPr>
          <w:rFonts w:ascii="Times New Roman" w:hAnsi="Times New Roman" w:cs="Times New Roman"/>
          <w:color w:val="042341"/>
          <w:sz w:val="24"/>
          <w:szCs w:val="24"/>
          <w:lang w:val="ru"/>
        </w:rPr>
        <w:t>Раздел 12 — Анализ молока</w:t>
      </w:r>
    </w:p>
    <w:p w14:paraId="7A914693" w14:textId="77777777" w:rsidR="001E781F" w:rsidRPr="0020290C" w:rsidRDefault="00AD1755" w:rsidP="009A15C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BE5F0C">
        <w:rPr>
          <w:rFonts w:ascii="Times New Roman" w:hAnsi="Times New Roman" w:cs="Times New Roman"/>
          <w:color w:val="0082BD"/>
          <w:sz w:val="20"/>
          <w:szCs w:val="20"/>
          <w:lang w:val="ru"/>
        </w:rPr>
        <w:t>Версия по состоянию на апрель 2020 г., одобренная для публикации</w:t>
      </w:r>
    </w:p>
    <w:p w14:paraId="324D7322" w14:textId="77777777" w:rsidR="001F0C50" w:rsidRPr="005F0D17" w:rsidRDefault="00AD1755" w:rsidP="009A15C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</w:rPr>
      </w:pPr>
      <w:r w:rsidRPr="00BE5F0C">
        <w:rPr>
          <w:rFonts w:ascii="Times New Roman" w:hAnsi="Times New Roman" w:cs="Times New Roman"/>
          <w:color w:val="0082BD"/>
          <w:sz w:val="20"/>
          <w:szCs w:val="20"/>
          <w:lang w:val="ru"/>
        </w:rPr>
        <w:t>Ссылка</w:t>
      </w:r>
      <w:r w:rsidRPr="0020290C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BE5F0C">
        <w:rPr>
          <w:rFonts w:ascii="Times New Roman" w:hAnsi="Times New Roman" w:cs="Times New Roman"/>
          <w:color w:val="0082BD"/>
          <w:sz w:val="20"/>
          <w:szCs w:val="20"/>
          <w:lang w:val="ru"/>
        </w:rPr>
        <w:t>на</w:t>
      </w:r>
      <w:r w:rsidRPr="0020290C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BE5F0C">
        <w:rPr>
          <w:rFonts w:ascii="Times New Roman" w:hAnsi="Times New Roman" w:cs="Times New Roman"/>
          <w:color w:val="0082BD"/>
          <w:sz w:val="20"/>
          <w:szCs w:val="20"/>
          <w:lang w:val="ru"/>
        </w:rPr>
        <w:t>файл</w:t>
      </w:r>
      <w:r w:rsidRPr="0020290C">
        <w:rPr>
          <w:rFonts w:ascii="Times New Roman" w:hAnsi="Times New Roman" w:cs="Times New Roman"/>
          <w:color w:val="0082BD"/>
          <w:sz w:val="20"/>
          <w:szCs w:val="20"/>
        </w:rPr>
        <w:t>: 12 Milk analysis 20.01.docx</w:t>
      </w:r>
    </w:p>
    <w:p w14:paraId="6046B165" w14:textId="77777777" w:rsidR="0085133C" w:rsidRPr="005F0D17" w:rsidRDefault="00AD1755" w:rsidP="009A15C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D17">
        <w:rPr>
          <w:rFonts w:ascii="Times New Roman" w:hAnsi="Times New Roman" w:cs="Times New Roman"/>
          <w:sz w:val="24"/>
          <w:szCs w:val="24"/>
        </w:rPr>
        <w:br w:type="page"/>
      </w:r>
    </w:p>
    <w:p w14:paraId="13106BED" w14:textId="77777777" w:rsidR="001F0C50" w:rsidRPr="005F0D17" w:rsidRDefault="00AD1755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78091CB7" w14:textId="77777777" w:rsidR="005F0D17" w:rsidRPr="005F0D17" w:rsidRDefault="00AD1755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022FAC9E" wp14:editId="79FDD8C0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109F8C79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1</w:t>
      </w:r>
      <w:r w:rsidRPr="00C47253">
        <w:rPr>
          <w:rFonts w:eastAsia="Arial"/>
          <w:noProof/>
          <w:lang w:val="ru"/>
        </w:rPr>
        <w:tab/>
        <w:t>Сфера применения</w:t>
      </w:r>
      <w:r w:rsidRPr="00C47253">
        <w:rPr>
          <w:rFonts w:eastAsia="Arial"/>
          <w:noProof/>
          <w:lang w:val="ru"/>
        </w:rPr>
        <w:tab/>
        <w:t>4</w:t>
      </w:r>
    </w:p>
    <w:p w14:paraId="53DCB853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2</w:t>
      </w:r>
      <w:r w:rsidRPr="00C47253">
        <w:rPr>
          <w:rFonts w:eastAsia="Arial"/>
          <w:noProof/>
          <w:lang w:val="ru"/>
        </w:rPr>
        <w:tab/>
        <w:t>Эталонные методы</w:t>
      </w:r>
      <w:r w:rsidRPr="00C47253">
        <w:rPr>
          <w:rFonts w:eastAsia="Arial"/>
          <w:noProof/>
          <w:lang w:val="ru"/>
        </w:rPr>
        <w:tab/>
        <w:t>4</w:t>
      </w:r>
    </w:p>
    <w:p w14:paraId="55983519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3</w:t>
      </w:r>
      <w:r w:rsidRPr="00C47253">
        <w:rPr>
          <w:rFonts w:eastAsia="Arial"/>
          <w:noProof/>
          <w:lang w:val="ru"/>
        </w:rPr>
        <w:tab/>
      </w:r>
      <w:r w:rsidRPr="00C47253">
        <w:rPr>
          <w:rFonts w:eastAsia="Arial"/>
          <w:noProof/>
          <w:lang w:val="ru"/>
        </w:rPr>
        <w:t>Стандартные (инструментальные) методы</w:t>
      </w:r>
      <w:r w:rsidRPr="00C47253">
        <w:rPr>
          <w:rFonts w:eastAsia="Arial"/>
          <w:noProof/>
          <w:lang w:val="ru"/>
        </w:rPr>
        <w:tab/>
        <w:t>4</w:t>
      </w:r>
    </w:p>
    <w:p w14:paraId="4B39DDF8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4</w:t>
      </w:r>
      <w:r w:rsidRPr="00C47253">
        <w:rPr>
          <w:rFonts w:eastAsia="Arial"/>
          <w:noProof/>
          <w:lang w:val="ru"/>
        </w:rPr>
        <w:tab/>
        <w:t>Особые рекомендации по контролю качества образцов молока в рамках улучшения молочного стада (УМС)</w:t>
      </w:r>
      <w:r w:rsidRPr="00C47253">
        <w:rPr>
          <w:rFonts w:eastAsia="Arial"/>
          <w:noProof/>
          <w:lang w:val="ru"/>
        </w:rPr>
        <w:tab/>
        <w:t>4</w:t>
      </w:r>
    </w:p>
    <w:p w14:paraId="06053D6D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4.1</w:t>
      </w:r>
      <w:r w:rsidRPr="00C47253">
        <w:rPr>
          <w:rFonts w:eastAsia="Arial"/>
          <w:noProof/>
          <w:lang w:val="ru"/>
        </w:rPr>
        <w:tab/>
        <w:t>Флаконы</w:t>
      </w:r>
      <w:r w:rsidRPr="00C47253">
        <w:rPr>
          <w:rFonts w:eastAsia="Arial"/>
          <w:noProof/>
          <w:lang w:val="ru"/>
        </w:rPr>
        <w:tab/>
        <w:t>4</w:t>
      </w:r>
    </w:p>
    <w:p w14:paraId="12123945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4.2</w:t>
      </w:r>
      <w:r w:rsidRPr="00C47253">
        <w:rPr>
          <w:rFonts w:eastAsia="Arial"/>
          <w:noProof/>
          <w:lang w:val="ru"/>
        </w:rPr>
        <w:tab/>
        <w:t>Консерванты</w:t>
      </w:r>
      <w:r w:rsidRPr="00C47253">
        <w:rPr>
          <w:rFonts w:eastAsia="Arial"/>
          <w:noProof/>
          <w:lang w:val="ru"/>
        </w:rPr>
        <w:tab/>
        <w:t>5</w:t>
      </w:r>
    </w:p>
    <w:p w14:paraId="602BC828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</w:t>
      </w:r>
      <w:r w:rsidRPr="00C47253">
        <w:rPr>
          <w:rFonts w:eastAsia="Arial"/>
          <w:noProof/>
          <w:lang w:val="ru"/>
        </w:rPr>
        <w:tab/>
        <w:t>Контроль качества в лабораториях УМС</w:t>
      </w:r>
      <w:r w:rsidRPr="00C47253">
        <w:rPr>
          <w:rFonts w:eastAsia="Arial"/>
          <w:noProof/>
          <w:lang w:val="ru"/>
        </w:rPr>
        <w:tab/>
        <w:t>5</w:t>
      </w:r>
    </w:p>
    <w:p w14:paraId="0AAA9A4D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5.1</w:t>
      </w:r>
      <w:r w:rsidRPr="00C47253">
        <w:rPr>
          <w:rFonts w:eastAsia="Arial"/>
          <w:noProof/>
          <w:lang w:val="ru"/>
        </w:rPr>
        <w:tab/>
        <w:t xml:space="preserve">Контроль качества эталонных </w:t>
      </w:r>
      <w:r w:rsidRPr="00C47253">
        <w:rPr>
          <w:rFonts w:eastAsia="Arial"/>
          <w:noProof/>
          <w:lang w:val="ru"/>
        </w:rPr>
        <w:t>методов</w:t>
      </w:r>
      <w:r w:rsidRPr="00C47253">
        <w:rPr>
          <w:rFonts w:eastAsia="Arial"/>
          <w:noProof/>
          <w:lang w:val="ru"/>
        </w:rPr>
        <w:tab/>
        <w:t>5</w:t>
      </w:r>
    </w:p>
    <w:p w14:paraId="4DEE2170" w14:textId="77777777" w:rsidR="00CA6CD8" w:rsidRPr="0020290C" w:rsidRDefault="00AD1755" w:rsidP="00CA6CD8">
      <w:pPr>
        <w:pStyle w:val="33"/>
        <w:tabs>
          <w:tab w:val="left" w:pos="1418"/>
        </w:tabs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5.1.1</w:t>
      </w:r>
      <w:r w:rsidRPr="00C47253">
        <w:rPr>
          <w:rFonts w:eastAsia="Arial"/>
          <w:noProof/>
          <w:lang w:val="ru"/>
        </w:rPr>
        <w:tab/>
        <w:t>Внешний контроль</w:t>
      </w:r>
      <w:r w:rsidRPr="00C47253">
        <w:rPr>
          <w:rFonts w:eastAsia="Arial"/>
          <w:noProof/>
          <w:lang w:val="ru"/>
        </w:rPr>
        <w:tab/>
        <w:t>5</w:t>
      </w:r>
    </w:p>
    <w:p w14:paraId="438598A2" w14:textId="77777777" w:rsidR="00CA6CD8" w:rsidRPr="0020290C" w:rsidRDefault="00AD1755" w:rsidP="00CA6CD8">
      <w:pPr>
        <w:pStyle w:val="33"/>
        <w:tabs>
          <w:tab w:val="left" w:pos="1418"/>
        </w:tabs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5.1.2</w:t>
      </w:r>
      <w:r w:rsidRPr="00C47253">
        <w:rPr>
          <w:rFonts w:eastAsia="Arial"/>
          <w:noProof/>
          <w:lang w:val="ru"/>
        </w:rPr>
        <w:tab/>
        <w:t>Внутренний контроль</w:t>
      </w:r>
      <w:r w:rsidRPr="00C47253">
        <w:rPr>
          <w:rFonts w:eastAsia="Arial"/>
          <w:noProof/>
          <w:lang w:val="ru"/>
        </w:rPr>
        <w:tab/>
        <w:t>6</w:t>
      </w:r>
    </w:p>
    <w:p w14:paraId="773D5B9C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5.2</w:t>
      </w:r>
      <w:r w:rsidRPr="00C47253">
        <w:rPr>
          <w:rFonts w:eastAsia="Arial"/>
          <w:noProof/>
          <w:lang w:val="ru"/>
        </w:rPr>
        <w:tab/>
        <w:t>Контроль качества для стандартных методов</w:t>
      </w:r>
      <w:r w:rsidRPr="00C47253">
        <w:rPr>
          <w:rFonts w:eastAsia="Arial"/>
          <w:noProof/>
          <w:lang w:val="ru"/>
        </w:rPr>
        <w:tab/>
        <w:t>6</w:t>
      </w:r>
    </w:p>
    <w:p w14:paraId="07F06AEF" w14:textId="77777777" w:rsidR="00CA6CD8" w:rsidRPr="0020290C" w:rsidRDefault="00AD1755" w:rsidP="00CA6CD8">
      <w:pPr>
        <w:pStyle w:val="33"/>
        <w:tabs>
          <w:tab w:val="left" w:pos="1418"/>
        </w:tabs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5.2.1.</w:t>
      </w:r>
      <w:r w:rsidRPr="00C47253">
        <w:rPr>
          <w:rFonts w:eastAsia="Arial"/>
          <w:noProof/>
          <w:lang w:val="ru"/>
        </w:rPr>
        <w:tab/>
        <w:t>Внешний контроль</w:t>
      </w:r>
      <w:r w:rsidRPr="00C47253">
        <w:rPr>
          <w:rFonts w:eastAsia="Arial"/>
          <w:noProof/>
          <w:lang w:val="ru"/>
        </w:rPr>
        <w:tab/>
        <w:t>6</w:t>
      </w:r>
    </w:p>
    <w:p w14:paraId="2D42FEA9" w14:textId="77777777" w:rsidR="00CA6CD8" w:rsidRPr="0020290C" w:rsidRDefault="00AD1755" w:rsidP="00CA6CD8">
      <w:pPr>
        <w:pStyle w:val="33"/>
        <w:tabs>
          <w:tab w:val="left" w:pos="1418"/>
        </w:tabs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5.2.2.</w:t>
      </w:r>
      <w:r w:rsidRPr="00C47253">
        <w:rPr>
          <w:rFonts w:eastAsia="Arial"/>
          <w:noProof/>
          <w:lang w:val="ru"/>
        </w:rPr>
        <w:tab/>
        <w:t>Внутренний контроль</w:t>
      </w:r>
      <w:r w:rsidRPr="00C47253">
        <w:rPr>
          <w:rFonts w:eastAsia="Arial"/>
          <w:noProof/>
          <w:lang w:val="ru"/>
        </w:rPr>
        <w:tab/>
        <w:t>7</w:t>
      </w:r>
    </w:p>
    <w:p w14:paraId="7E3056D5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6</w:t>
      </w:r>
      <w:r w:rsidRPr="00C47253">
        <w:rPr>
          <w:rFonts w:eastAsia="Arial"/>
          <w:noProof/>
          <w:lang w:val="ru"/>
        </w:rPr>
        <w:tab/>
        <w:t>Требования к средствам аналитического контроля качества и обеспечения качества</w:t>
      </w:r>
      <w:r w:rsidRPr="00C47253">
        <w:rPr>
          <w:rFonts w:eastAsia="Arial"/>
          <w:noProof/>
          <w:lang w:val="ru"/>
        </w:rPr>
        <w:tab/>
        <w:t>7</w:t>
      </w:r>
    </w:p>
    <w:p w14:paraId="1F80277C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6.1</w:t>
      </w:r>
      <w:r w:rsidRPr="00C47253">
        <w:rPr>
          <w:rFonts w:eastAsia="Arial"/>
          <w:noProof/>
          <w:lang w:val="ru"/>
        </w:rPr>
        <w:tab/>
        <w:t>Меж</w:t>
      </w:r>
      <w:r w:rsidRPr="00C47253">
        <w:rPr>
          <w:rFonts w:eastAsia="Arial"/>
          <w:noProof/>
          <w:lang w:val="ru"/>
        </w:rPr>
        <w:t>лабораторные аттестационные испытания</w:t>
      </w:r>
      <w:r w:rsidRPr="00C47253">
        <w:rPr>
          <w:rFonts w:eastAsia="Arial"/>
          <w:noProof/>
          <w:lang w:val="ru"/>
        </w:rPr>
        <w:tab/>
        <w:t>7</w:t>
      </w:r>
    </w:p>
    <w:p w14:paraId="12778E80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6.2</w:t>
      </w:r>
      <w:r w:rsidRPr="00C47253">
        <w:rPr>
          <w:rFonts w:eastAsia="Arial"/>
          <w:noProof/>
          <w:lang w:val="ru"/>
        </w:rPr>
        <w:tab/>
        <w:t>Стандартные образцы</w:t>
      </w:r>
      <w:r w:rsidRPr="00C47253">
        <w:rPr>
          <w:rFonts w:eastAsia="Arial"/>
          <w:noProof/>
          <w:lang w:val="ru"/>
        </w:rPr>
        <w:tab/>
        <w:t>7</w:t>
      </w:r>
    </w:p>
    <w:p w14:paraId="0FA27ECC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6.3</w:t>
      </w:r>
      <w:r w:rsidRPr="00C47253">
        <w:rPr>
          <w:rFonts w:eastAsia="Arial"/>
          <w:noProof/>
          <w:lang w:val="ru"/>
        </w:rPr>
        <w:tab/>
        <w:t>Выбор поставщиков услуг по аналитическому контролю качества (АКА)</w:t>
      </w:r>
      <w:r w:rsidRPr="00C47253">
        <w:rPr>
          <w:rFonts w:eastAsia="Arial"/>
          <w:noProof/>
          <w:lang w:val="ru"/>
        </w:rPr>
        <w:tab/>
        <w:t>8</w:t>
      </w:r>
    </w:p>
    <w:p w14:paraId="67E717B9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7</w:t>
      </w:r>
      <w:r w:rsidRPr="00C47253">
        <w:rPr>
          <w:rFonts w:eastAsia="Arial"/>
          <w:noProof/>
          <w:lang w:val="ru"/>
        </w:rPr>
        <w:tab/>
        <w:t>Приложение 1. Аналитический контроль качества в лабораториях по анализу молока</w:t>
      </w:r>
      <w:r w:rsidRPr="00C47253">
        <w:rPr>
          <w:rFonts w:eastAsia="Arial"/>
          <w:noProof/>
          <w:lang w:val="ru"/>
        </w:rPr>
        <w:tab/>
        <w:t>9</w:t>
      </w:r>
    </w:p>
    <w:p w14:paraId="2785F637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7.1</w:t>
      </w:r>
      <w:r w:rsidRPr="00C47253">
        <w:rPr>
          <w:rFonts w:eastAsia="Arial"/>
          <w:noProof/>
          <w:lang w:val="ru"/>
        </w:rPr>
        <w:tab/>
        <w:t xml:space="preserve">Компоненты контроля качества и </w:t>
      </w:r>
      <w:r w:rsidRPr="00C47253">
        <w:rPr>
          <w:rFonts w:eastAsia="Arial"/>
          <w:noProof/>
          <w:lang w:val="ru"/>
        </w:rPr>
        <w:t>рекомендуемая минимальная периодичность</w:t>
      </w:r>
      <w:r w:rsidRPr="00C47253">
        <w:rPr>
          <w:rFonts w:eastAsia="Arial"/>
          <w:noProof/>
          <w:lang w:val="ru"/>
        </w:rPr>
        <w:tab/>
        <w:t>9</w:t>
      </w:r>
    </w:p>
    <w:p w14:paraId="594365EF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7.2</w:t>
      </w:r>
      <w:r w:rsidRPr="00C47253">
        <w:rPr>
          <w:rFonts w:eastAsia="Arial"/>
          <w:noProof/>
          <w:lang w:val="ru"/>
        </w:rPr>
        <w:tab/>
        <w:t>Периодичность и ограничения для стандартных методов</w:t>
      </w:r>
      <w:r w:rsidRPr="00C47253">
        <w:rPr>
          <w:rFonts w:eastAsia="Arial"/>
          <w:noProof/>
          <w:lang w:val="ru"/>
        </w:rPr>
        <w:tab/>
        <w:t>9</w:t>
      </w:r>
    </w:p>
    <w:p w14:paraId="09AA6662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7.3</w:t>
      </w:r>
      <w:r w:rsidRPr="00C47253">
        <w:rPr>
          <w:rFonts w:eastAsia="Arial"/>
          <w:noProof/>
          <w:lang w:val="ru"/>
        </w:rPr>
        <w:tab/>
        <w:t>Проверка</w:t>
      </w:r>
      <w:r w:rsidRPr="00C47253">
        <w:rPr>
          <w:rFonts w:eastAsia="Arial"/>
          <w:noProof/>
          <w:lang w:val="ru"/>
        </w:rPr>
        <w:tab/>
        <w:t>10</w:t>
      </w:r>
    </w:p>
    <w:p w14:paraId="692667EF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8</w:t>
      </w:r>
      <w:r w:rsidRPr="00C47253">
        <w:rPr>
          <w:rFonts w:eastAsia="Arial"/>
          <w:noProof/>
          <w:lang w:val="ru"/>
        </w:rPr>
        <w:tab/>
        <w:t>Приложение 2. Методы</w:t>
      </w:r>
      <w:r w:rsidRPr="00C47253">
        <w:rPr>
          <w:rFonts w:eastAsia="Arial"/>
          <w:noProof/>
          <w:lang w:val="ru"/>
        </w:rPr>
        <w:tab/>
        <w:t>12</w:t>
      </w:r>
    </w:p>
    <w:p w14:paraId="016E2DB8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8.1</w:t>
      </w:r>
      <w:r w:rsidRPr="00C47253">
        <w:rPr>
          <w:rFonts w:eastAsia="Arial"/>
          <w:noProof/>
          <w:lang w:val="ru"/>
        </w:rPr>
        <w:tab/>
        <w:t>Международные эталонные методы</w:t>
      </w:r>
      <w:r w:rsidRPr="00C47253">
        <w:rPr>
          <w:rFonts w:eastAsia="Arial"/>
          <w:noProof/>
          <w:lang w:val="ru"/>
        </w:rPr>
        <w:tab/>
        <w:t>12</w:t>
      </w:r>
    </w:p>
    <w:p w14:paraId="7ADCA2EA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8.2</w:t>
      </w:r>
      <w:r w:rsidRPr="00C47253">
        <w:rPr>
          <w:rFonts w:eastAsia="Arial"/>
          <w:noProof/>
          <w:lang w:val="ru"/>
        </w:rPr>
        <w:tab/>
        <w:t>Вспомогательные международные эталонные методы</w:t>
      </w:r>
      <w:r w:rsidRPr="00C47253">
        <w:rPr>
          <w:rFonts w:eastAsia="Arial"/>
          <w:noProof/>
          <w:lang w:val="ru"/>
        </w:rPr>
        <w:tab/>
        <w:t>12</w:t>
      </w:r>
    </w:p>
    <w:p w14:paraId="7D62D840" w14:textId="77777777" w:rsidR="00CA6CD8" w:rsidRPr="0020290C" w:rsidRDefault="00AD1755" w:rsidP="00CA6CD8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8.3</w:t>
      </w:r>
      <w:r w:rsidRPr="00C47253">
        <w:rPr>
          <w:rFonts w:eastAsia="Arial"/>
          <w:noProof/>
          <w:lang w:val="ru"/>
        </w:rPr>
        <w:tab/>
        <w:t>Унифицированные ст</w:t>
      </w:r>
      <w:r w:rsidRPr="00C47253">
        <w:rPr>
          <w:rFonts w:eastAsia="Arial"/>
          <w:noProof/>
          <w:lang w:val="ru"/>
        </w:rPr>
        <w:t>андартные методы</w:t>
      </w:r>
      <w:r w:rsidRPr="00C47253">
        <w:rPr>
          <w:rFonts w:eastAsia="Arial"/>
          <w:noProof/>
          <w:lang w:val="ru"/>
        </w:rPr>
        <w:tab/>
        <w:t>12</w:t>
      </w:r>
    </w:p>
    <w:p w14:paraId="540F148C" w14:textId="77777777" w:rsidR="004C7DA2" w:rsidRPr="0020290C" w:rsidRDefault="004C7DA2" w:rsidP="000708E7">
      <w:pPr>
        <w:spacing w:after="360"/>
        <w:rPr>
          <w:lang w:val="ru-RU"/>
        </w:rPr>
      </w:pPr>
    </w:p>
    <w:p w14:paraId="61941E17" w14:textId="77777777" w:rsidR="00BE5F0C" w:rsidRPr="00847C67" w:rsidRDefault="00AD1755" w:rsidP="00BE5F0C">
      <w:pPr>
        <w:pStyle w:val="00"/>
      </w:pPr>
      <w:r w:rsidRPr="00BE5F0C">
        <w:rPr>
          <w:lang w:val="ru"/>
        </w:rPr>
        <w:t>Таблицы</w:t>
      </w:r>
    </w:p>
    <w:p w14:paraId="0A535364" w14:textId="77777777" w:rsidR="00BE5F0C" w:rsidRPr="005F0D17" w:rsidRDefault="00AD1755" w:rsidP="00CA6CD8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1A71362A" wp14:editId="0437AFC5">
                <wp:extent cx="5760000" cy="0"/>
                <wp:effectExtent l="0" t="0" r="31750" b="19050"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39B2E08C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Таблица 1. Компоненты контроля качества и рекомендуемая минимальная периодичность.</w:t>
      </w:r>
      <w:r w:rsidRPr="00C47253">
        <w:rPr>
          <w:rFonts w:eastAsia="Arial"/>
          <w:noProof/>
          <w:lang w:val="ru"/>
        </w:rPr>
        <w:tab/>
        <w:t>9</w:t>
      </w:r>
    </w:p>
    <w:p w14:paraId="1E5D1DB3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Таблица 2. Минимальная периодичность и пределы для проверки посредством стандартных методов.</w:t>
      </w:r>
      <w:r w:rsidRPr="00C47253">
        <w:rPr>
          <w:rFonts w:eastAsia="Arial"/>
          <w:noProof/>
          <w:lang w:val="ru"/>
        </w:rPr>
        <w:tab/>
        <w:t>9</w:t>
      </w:r>
    </w:p>
    <w:p w14:paraId="75491066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 xml:space="preserve">Таблица 3. Международные эталонные </w:t>
      </w:r>
      <w:r w:rsidRPr="00C47253">
        <w:rPr>
          <w:rFonts w:eastAsia="Arial"/>
          <w:noProof/>
          <w:lang w:val="ru"/>
        </w:rPr>
        <w:t>методы.</w:t>
      </w:r>
      <w:r w:rsidRPr="00C47253">
        <w:rPr>
          <w:rFonts w:eastAsia="Arial"/>
          <w:noProof/>
          <w:lang w:val="ru"/>
        </w:rPr>
        <w:tab/>
        <w:t>12</w:t>
      </w:r>
    </w:p>
    <w:p w14:paraId="0F0717FD" w14:textId="77777777" w:rsidR="00CA6CD8" w:rsidRPr="0020290C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C47253">
        <w:rPr>
          <w:rFonts w:eastAsia="Arial"/>
          <w:noProof/>
          <w:lang w:val="ru"/>
        </w:rPr>
        <w:t>Таблица 4. Вспомогательные международные эталонные методы.</w:t>
      </w:r>
      <w:r w:rsidRPr="00C47253">
        <w:rPr>
          <w:rFonts w:eastAsia="Arial"/>
          <w:noProof/>
          <w:lang w:val="ru"/>
        </w:rPr>
        <w:tab/>
        <w:t>12</w:t>
      </w:r>
    </w:p>
    <w:p w14:paraId="1E2FED00" w14:textId="77777777" w:rsidR="00CA6CD8" w:rsidRPr="00C47253" w:rsidRDefault="00AD1755" w:rsidP="00CA6CD8">
      <w:pPr>
        <w:pStyle w:val="14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 w:bidi="ar-SA"/>
        </w:rPr>
      </w:pPr>
      <w:r w:rsidRPr="00C47253">
        <w:rPr>
          <w:rFonts w:eastAsia="Arial"/>
          <w:noProof/>
          <w:lang w:val="ru"/>
        </w:rPr>
        <w:lastRenderedPageBreak/>
        <w:t>Таблица 5. Унифицированные стандартные методы.</w:t>
      </w:r>
      <w:r w:rsidRPr="00C47253">
        <w:rPr>
          <w:rFonts w:eastAsia="Arial"/>
          <w:noProof/>
          <w:lang w:val="ru"/>
        </w:rPr>
        <w:tab/>
        <w:t>12</w:t>
      </w:r>
    </w:p>
    <w:p w14:paraId="2FA3D34C" w14:textId="77777777" w:rsidR="00CA6CD8" w:rsidRDefault="00AD1755" w:rsidP="000708E7">
      <w:pPr>
        <w:pStyle w:val="101"/>
        <w:shd w:val="clear" w:color="auto" w:fill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"/>
        </w:rPr>
        <w:t>18</w:t>
      </w:r>
    </w:p>
    <w:p w14:paraId="3AEDCA39" w14:textId="77777777" w:rsidR="000708E7" w:rsidRPr="00847C67" w:rsidRDefault="000708E7" w:rsidP="000708E7">
      <w:pPr>
        <w:pStyle w:val="101"/>
        <w:shd w:val="clear" w:color="auto" w:fill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F73CEB6" w14:textId="77777777" w:rsidR="0056063D" w:rsidRPr="00847C67" w:rsidRDefault="00AD1755" w:rsidP="00610D16">
      <w:pPr>
        <w:pStyle w:val="00"/>
        <w:pageBreakBefore/>
      </w:pPr>
      <w:r w:rsidRPr="0056063D">
        <w:rPr>
          <w:lang w:val="ru"/>
        </w:rPr>
        <w:lastRenderedPageBreak/>
        <w:t>Сводка изменений</w:t>
      </w:r>
    </w:p>
    <w:p w14:paraId="28CE0C70" w14:textId="77777777" w:rsidR="0056063D" w:rsidRPr="005F0D17" w:rsidRDefault="00AD1755" w:rsidP="00130640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675EC91E" wp14:editId="3A5678B6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7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03BFE2E2" w14:textId="77777777" w:rsidR="001F0C50" w:rsidRPr="00847C67" w:rsidRDefault="001F0C50" w:rsidP="00130640">
      <w:pPr>
        <w:pStyle w:val="101"/>
        <w:shd w:val="clear" w:color="auto" w:fill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Overlap w:val="never"/>
        <w:tblW w:w="90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55"/>
      </w:tblGrid>
      <w:tr w:rsidR="008E387F" w14:paraId="440C116B" w14:textId="77777777" w:rsidTr="0020290C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FA26F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6E38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8E387F" w:rsidRPr="0020290C" w14:paraId="6F9A9A6F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4FCC1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14B82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Переформатировано с использованием нового шаблона.</w:t>
            </w:r>
          </w:p>
        </w:tc>
      </w:tr>
      <w:tr w:rsidR="008E387F" w14:paraId="363BE90A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376DC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38402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Добавлено содержание.</w:t>
            </w:r>
          </w:p>
        </w:tc>
      </w:tr>
      <w:tr w:rsidR="008E387F" w:rsidRPr="0020290C" w14:paraId="094ABE9F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7F3D6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21775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Отредактированы номера и формулировки заголовков для большей ясности и удаления лишнего текста.</w:t>
            </w:r>
          </w:p>
        </w:tc>
      </w:tr>
      <w:tr w:rsidR="008E387F" w14:paraId="502901C4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F8872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371C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Добавлены подписи ко всем таблицам. В оглавление добавлены таблицы.</w:t>
            </w:r>
          </w:p>
        </w:tc>
      </w:tr>
      <w:tr w:rsidR="008E387F" w:rsidRPr="0020290C" w14:paraId="790FC876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98D0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450E2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Обновлены и автоматизированы перекрестные ссылки.</w:t>
            </w:r>
          </w:p>
        </w:tc>
      </w:tr>
      <w:tr w:rsidR="008E387F" w:rsidRPr="0020290C" w14:paraId="366C7CAC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5951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15B67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Прекращено отслеживание изменений, приняты всее предыдущие изменения.</w:t>
            </w:r>
          </w:p>
        </w:tc>
      </w:tr>
      <w:tr w:rsidR="008E387F" w:rsidRPr="0020290C" w14:paraId="12CB3154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7AEDE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C796E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Файл перемещен в новый шаблон (v2017_08_29).</w:t>
            </w:r>
          </w:p>
        </w:tc>
      </w:tr>
      <w:tr w:rsidR="008E387F" w:rsidRPr="0020290C" w14:paraId="683254A9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0181E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Сентябрь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9FE02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таблицы 1 и 2 в Разделе 7 внесены испра</w:t>
            </w: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вления, предложенные Гевином Скоттом (12 сентября 2017 г.).</w:t>
            </w:r>
          </w:p>
        </w:tc>
      </w:tr>
      <w:tr w:rsidR="008E387F" w:rsidRPr="0020290C" w14:paraId="6F65B1E6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6D19A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Октябрь 2017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3E499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Исправлены гиперссылки по состоянию на дату составления версии.</w:t>
            </w:r>
          </w:p>
        </w:tc>
      </w:tr>
      <w:tr w:rsidR="008E387F" w:rsidRPr="0020290C" w14:paraId="6C0D6147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6A91C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2018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26806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Весь текст пересмотрен и обновлен Подкомитетом по анализу молока ICAR.</w:t>
            </w:r>
          </w:p>
        </w:tc>
      </w:tr>
      <w:tr w:rsidR="008E387F" w:rsidRPr="0020290C" w14:paraId="33B8B2BD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DC59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Сентябрь 2018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73068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Утверждено Советом ICAR с включением ссылки на Раздел 11 в Главе 4.</w:t>
            </w:r>
          </w:p>
        </w:tc>
      </w:tr>
      <w:tr w:rsidR="008E387F" w:rsidRPr="0020290C" w14:paraId="53FB283F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DD5E6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Октябрь 2018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3BF35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Подготовлено для рассмотрения Генеральной Ассамблеей ICAR.</w:t>
            </w:r>
          </w:p>
        </w:tc>
      </w:tr>
      <w:tr w:rsidR="008E387F" w:rsidRPr="0020290C" w14:paraId="529F7241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3EA7A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Декабрь 2018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7323E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Незначительное форматирование Таблицы 2 для улучшения удобочитаемости и окончательное оформлени</w:t>
            </w: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 для публикации.</w:t>
            </w:r>
          </w:p>
        </w:tc>
      </w:tr>
      <w:tr w:rsidR="008E387F" w:rsidRPr="0020290C" w14:paraId="63805052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F9A9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Январь 2019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C9E42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Добавлена ссылка на процедуру 1 в главу 3 Стандартные (инструментальные) методы.</w:t>
            </w:r>
          </w:p>
        </w:tc>
      </w:tr>
      <w:tr w:rsidR="008E387F" w:rsidRPr="0020290C" w14:paraId="4A44B904" w14:textId="77777777" w:rsidTr="00202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64DDA" w14:textId="77777777" w:rsidR="001F0C50" w:rsidRPr="00BE5F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Апрель 2020 г.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8BE6" w14:textId="77777777" w:rsidR="001F0C50" w:rsidRPr="0020290C" w:rsidRDefault="00AD1755" w:rsidP="00BE5F0C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F0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Слово «Одобрено» заменено словом «Сертифицировано».</w:t>
            </w:r>
          </w:p>
        </w:tc>
      </w:tr>
    </w:tbl>
    <w:p w14:paraId="497AACB6" w14:textId="77777777" w:rsidR="00817293" w:rsidRPr="0020290C" w:rsidRDefault="00AD1755" w:rsidP="00817293">
      <w:pPr>
        <w:spacing w:after="120"/>
        <w:jc w:val="both"/>
        <w:rPr>
          <w:lang w:val="ru-RU"/>
        </w:rPr>
      </w:pPr>
      <w:bookmarkStart w:id="0" w:name="bookmark981"/>
      <w:bookmarkStart w:id="1" w:name="bookmark980"/>
      <w:r w:rsidRPr="0020290C">
        <w:rPr>
          <w:lang w:val="ru-RU"/>
        </w:rPr>
        <w:br w:type="page"/>
      </w:r>
    </w:p>
    <w:p w14:paraId="0240AF4B" w14:textId="77777777" w:rsidR="001F0C50" w:rsidRPr="0020290C" w:rsidRDefault="00AD1755" w:rsidP="00BE5F0C">
      <w:pPr>
        <w:pStyle w:val="110"/>
        <w:rPr>
          <w:lang w:val="ru-RU"/>
        </w:rPr>
      </w:pPr>
      <w:bookmarkStart w:id="2" w:name="_Toc93224185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Сфера применения</w:t>
      </w:r>
      <w:bookmarkEnd w:id="0"/>
      <w:bookmarkEnd w:id="1"/>
      <w:bookmarkEnd w:id="2"/>
    </w:p>
    <w:p w14:paraId="06917650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Данное руководство касается методов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определения содержания жира, белка, лактозы и мочевины, а также подсчета соматических клеток в молоке отдельных коров, коз и овец. Пробы молока в большинстве случаев консервируют с использованием химических веществ. Это должно учитываться при процедурах. Д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анное руководство определяет:</w:t>
      </w:r>
    </w:p>
    <w:p w14:paraId="15749909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Утвержденные эталонные методы.</w:t>
      </w:r>
    </w:p>
    <w:p w14:paraId="351F9AB2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Применение валидированных стандартных методов.</w:t>
      </w:r>
    </w:p>
    <w:p w14:paraId="187E5E3E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Рекомендации по контролю качества проб.</w:t>
      </w:r>
    </w:p>
    <w:p w14:paraId="42F23BDD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Рекомендации по контролю качества анализов.</w:t>
      </w:r>
    </w:p>
    <w:p w14:paraId="61EF6C7B" w14:textId="77777777" w:rsidR="001F0C50" w:rsidRPr="0020290C" w:rsidRDefault="00AD1755" w:rsidP="00CA6CD8">
      <w:pPr>
        <w:pStyle w:val="110"/>
        <w:rPr>
          <w:lang w:val="ru-RU"/>
        </w:rPr>
      </w:pPr>
      <w:bookmarkStart w:id="3" w:name="bookmark983"/>
      <w:bookmarkStart w:id="4" w:name="bookmark982"/>
      <w:bookmarkStart w:id="5" w:name="_Toc93224186"/>
      <w:r w:rsidRPr="00847C67">
        <w:rPr>
          <w:lang w:val="ru"/>
        </w:rPr>
        <w:t>2</w:t>
      </w:r>
      <w:r w:rsidRPr="00847C67">
        <w:rPr>
          <w:lang w:val="ru"/>
        </w:rPr>
        <w:tab/>
        <w:t>Эталонные методы</w:t>
      </w:r>
      <w:bookmarkEnd w:id="3"/>
      <w:bookmarkEnd w:id="4"/>
      <w:bookmarkEnd w:id="5"/>
    </w:p>
    <w:p w14:paraId="39218F17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Термин «эталонные методы»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обозначает методы, используемые для калибровки стандартных методов.</w:t>
      </w:r>
    </w:p>
    <w:p w14:paraId="577B281E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Эталонными методами должны быть методы, унифицированные на международном уровне (т. е. методы ISO, IDF, AOAC), хотя допускаются другие варианты (см. примечание ниже). Эталонные методы пере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числены в разделе 8 (Приложение 2. Методы) ниже.</w:t>
      </w:r>
    </w:p>
    <w:p w14:paraId="2ABEDAAB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Примечание: передача эталонных методов</w:t>
      </w:r>
    </w:p>
    <w:p w14:paraId="76D7AECE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Можно использовать более оперативные химические методы вместо трудоемких эталонных методов, если результаты показывают их эквивалентность (например, метод Гербера дл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жира, метод амидочерного красителя для белка, ферментативный метод для лактозы).</w:t>
      </w:r>
    </w:p>
    <w:p w14:paraId="4B5A0920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Контрольные приборы могут использоваться для получения «эталонных значений» для других приборов и для других лабораторий в рамках системы с централизованной калибровкой.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Инструментальные значения можно считать эквивалентными значениям, полученным с применением метода, используемого в качестве эталонного для калибровки. Применение концепции централизованной калибровки должно учитывать чувствительность стандартных методов к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матричному эффекту (состав молока).</w:t>
      </w:r>
    </w:p>
    <w:p w14:paraId="581CE6DE" w14:textId="77777777" w:rsidR="001F0C50" w:rsidRPr="0020290C" w:rsidRDefault="00AD1755" w:rsidP="00CA6CD8">
      <w:pPr>
        <w:pStyle w:val="110"/>
        <w:rPr>
          <w:lang w:val="ru-RU"/>
        </w:rPr>
      </w:pPr>
      <w:bookmarkStart w:id="6" w:name="bookmark985"/>
      <w:bookmarkStart w:id="7" w:name="bookmark984"/>
      <w:bookmarkStart w:id="8" w:name="_Toc93224187"/>
      <w:r w:rsidRPr="00847C67">
        <w:rPr>
          <w:lang w:val="ru"/>
        </w:rPr>
        <w:t>3</w:t>
      </w:r>
      <w:r w:rsidRPr="00847C67">
        <w:rPr>
          <w:lang w:val="ru"/>
        </w:rPr>
        <w:tab/>
        <w:t>Стандартные (инструментальные) методы</w:t>
      </w:r>
      <w:bookmarkEnd w:id="6"/>
      <w:bookmarkEnd w:id="7"/>
      <w:bookmarkEnd w:id="8"/>
    </w:p>
    <w:p w14:paraId="67D1AF1C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ookmark986"/>
      <w:r w:rsidRPr="00847C67">
        <w:rPr>
          <w:rFonts w:ascii="Times New Roman" w:hAnsi="Times New Roman" w:cs="Times New Roman"/>
          <w:sz w:val="24"/>
          <w:szCs w:val="24"/>
          <w:lang w:val="ru"/>
        </w:rPr>
        <w:t>Стандартными методами должны быть методы, которые соответствуют назначению на основе оценки эффективности экспертной лабораторией и с использованием унифицированного протокола, или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методы, сертифицированные ICAR на международном уровне. В связи с этим условия и процедура оценки, а также требования для сертификации ICAR определены в стандартном протоколе, официально одобренным ICAR (Процедура 1 Раздела 12 Руководства ICAR — см.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), как соответствующие цели учета молока.</w:t>
      </w:r>
      <w:bookmarkEnd w:id="9"/>
    </w:p>
    <w:p w14:paraId="7237A48E" w14:textId="77777777" w:rsidR="001F0C50" w:rsidRPr="0020290C" w:rsidRDefault="00AD1755" w:rsidP="00CA6CD8">
      <w:pPr>
        <w:pStyle w:val="110"/>
        <w:rPr>
          <w:lang w:val="ru-RU"/>
        </w:rPr>
      </w:pPr>
      <w:bookmarkStart w:id="10" w:name="bookmark987"/>
      <w:bookmarkStart w:id="11" w:name="_Toc93224188"/>
      <w:r w:rsidRPr="00847C67">
        <w:rPr>
          <w:lang w:val="ru"/>
        </w:rPr>
        <w:t>4</w:t>
      </w:r>
      <w:r w:rsidRPr="00847C67">
        <w:rPr>
          <w:lang w:val="ru"/>
        </w:rPr>
        <w:tab/>
        <w:t>Особые рекомендации по контролю качества образцов молока в рамках улучшения молочного стада (УМС)</w:t>
      </w:r>
      <w:bookmarkEnd w:id="10"/>
      <w:bookmarkEnd w:id="11"/>
    </w:p>
    <w:p w14:paraId="5BB0BE31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См. в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Разделе 11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инструкции по устройствам для отбора проб молока и объемам проб.</w:t>
      </w:r>
    </w:p>
    <w:p w14:paraId="267D3924" w14:textId="77777777" w:rsidR="00817293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Качество пробы является первым важным условием для стабильного аналитического результата. Пробы надлежащего качества являются необходимым условием для установления соответствия требованиям 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аналитическому качеству.</w:t>
      </w:r>
    </w:p>
    <w:p w14:paraId="2D05DDAA" w14:textId="77777777" w:rsidR="001F0C50" w:rsidRPr="0020290C" w:rsidRDefault="00AD1755" w:rsidP="00CA6CD8">
      <w:pPr>
        <w:pStyle w:val="120"/>
        <w:rPr>
          <w:lang w:val="ru-RU"/>
        </w:rPr>
      </w:pPr>
      <w:bookmarkStart w:id="12" w:name="bookmark989"/>
      <w:bookmarkStart w:id="13" w:name="bookmark988"/>
      <w:bookmarkStart w:id="14" w:name="_Toc93224189"/>
      <w:r w:rsidRPr="00847C67">
        <w:rPr>
          <w:lang w:val="ru"/>
        </w:rPr>
        <w:t>4.1</w:t>
      </w:r>
      <w:r w:rsidRPr="00847C67">
        <w:rPr>
          <w:lang w:val="ru"/>
        </w:rPr>
        <w:tab/>
        <w:t>Флаконы</w:t>
      </w:r>
      <w:bookmarkEnd w:id="12"/>
      <w:bookmarkEnd w:id="13"/>
      <w:bookmarkEnd w:id="14"/>
    </w:p>
    <w:p w14:paraId="55159674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общих чертах флаконы и пробки должны соответствовать своему назначению (без потерь и повреждений доставлять молоко в лаборатории). Например, слишком большой пустой объем над уровнем молока может способствовать взбива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нию во время транспортировки, особенно неохлажденного молока. Слишком маленький пустой объем над уровнем молока может затруднить перемешивание. Из-за недостаточно плотных пробок может иметь место потеря содержания жира.</w:t>
      </w:r>
    </w:p>
    <w:p w14:paraId="3839B5DC" w14:textId="77777777" w:rsidR="001F0C50" w:rsidRPr="0020290C" w:rsidRDefault="00AD1755" w:rsidP="00CA6CD8">
      <w:pPr>
        <w:pStyle w:val="120"/>
        <w:rPr>
          <w:lang w:val="ru-RU"/>
        </w:rPr>
      </w:pPr>
      <w:bookmarkStart w:id="15" w:name="bookmark991"/>
      <w:bookmarkStart w:id="16" w:name="bookmark990"/>
      <w:bookmarkStart w:id="17" w:name="_Toc93224190"/>
      <w:r w:rsidRPr="00847C67">
        <w:rPr>
          <w:lang w:val="ru"/>
        </w:rPr>
        <w:t>4.2</w:t>
      </w:r>
      <w:r w:rsidRPr="00847C67">
        <w:rPr>
          <w:lang w:val="ru"/>
        </w:rPr>
        <w:tab/>
        <w:t>Консерванты</w:t>
      </w:r>
      <w:bookmarkEnd w:id="15"/>
      <w:bookmarkEnd w:id="16"/>
      <w:bookmarkEnd w:id="17"/>
    </w:p>
    <w:p w14:paraId="19028AF9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Консервирование учит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ываемых проб молока с использованием химических веществ должно:</w:t>
      </w:r>
    </w:p>
    <w:p w14:paraId="119A21F7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Сохранять физические и химические свойства молока в период между отбором проб и анализом при условиях температуры и транспортировки по месту проведения.</w:t>
      </w:r>
    </w:p>
    <w:p w14:paraId="6115BA59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Не препятствовать проведению этал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онного анализа, так как возможность проведения сравнительного анализа остается за лабораториями.</w:t>
      </w:r>
    </w:p>
    <w:p w14:paraId="199ADC53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Не влиять на результаты анализа с применением эталонных методов и не влиять (или оказывать лишь ограниченное, но постоянное влияние) на результаты, полученн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ые с применением эталонного метода и стандартного метода. Ограниченное, но постоянное влияние можно компенсировать посредством калибровки и/или применения фиксированной коррекции.</w:t>
      </w:r>
    </w:p>
    <w:p w14:paraId="65031685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Не представлять вреда для сотрудников УМС и лаборатории в соответствии с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местными нормами по охране труда и технике безопасности.</w:t>
      </w:r>
    </w:p>
    <w:p w14:paraId="4283D943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Не представлять вреда для окружающей среды в соответствии с местными экологическими нормами.</w:t>
      </w:r>
    </w:p>
    <w:p w14:paraId="5732BD39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Примечания</w:t>
      </w:r>
    </w:p>
    <w:p w14:paraId="50922466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Сохранности проб способствует применение чистого оборудования для доения и отбора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проб, хранение проб при низких температурах в течение ограниченного времени с минимальными манипуляциями.</w:t>
      </w:r>
    </w:p>
    <w:p w14:paraId="118B3E17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Допустимые консерванты упоминаются в соответствующих стандартах и руководствах (ISO 9622 | IDF 141 и ISO 13366 | IDF 148). Тем не менее, в целом не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обходимо соблюдать осторожность и учитывать следующие аспекты:</w:t>
      </w:r>
    </w:p>
    <w:p w14:paraId="25D9B473" w14:textId="77777777" w:rsidR="001F0C50" w:rsidRPr="0020290C" w:rsidRDefault="00AD1755" w:rsidP="00CA6CD8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вспомогательное вещество-консервант: в зависимости от вспомогательного вещества (обычно солей) могут наблюдаться различные эффекты применяемых веществ, которые не существуют в чистом виде (сл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учай дихромата калия и бронопола в молоке по данным спектрометрии в средней инфракрасной области);</w:t>
      </w:r>
    </w:p>
    <w:p w14:paraId="2BEC6D2E" w14:textId="77777777" w:rsidR="001F0C50" w:rsidRPr="0020290C" w:rsidRDefault="00AD1755" w:rsidP="00CA6CD8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некоторые красители, используемые в качестве индикаторов цвета, могут влиять на инструментальный ответ (поглощение света или связывание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lastRenderedPageBreak/>
        <w:t>красителя с ДНК). И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з-за этого точность или чувствительность метода могут быть снижены. Этих красителей следует избегать.</w:t>
      </w:r>
    </w:p>
    <w:p w14:paraId="2825498A" w14:textId="77777777" w:rsidR="001F0C50" w:rsidRPr="0020290C" w:rsidRDefault="00AD1755" w:rsidP="00CA6CD8">
      <w:pPr>
        <w:pStyle w:val="110"/>
        <w:rPr>
          <w:lang w:val="ru-RU"/>
        </w:rPr>
      </w:pPr>
      <w:bookmarkStart w:id="18" w:name="bookmark993"/>
      <w:bookmarkStart w:id="19" w:name="bookmark992"/>
      <w:bookmarkStart w:id="20" w:name="_Toc93224191"/>
      <w:r w:rsidRPr="00847C67">
        <w:rPr>
          <w:lang w:val="ru"/>
        </w:rPr>
        <w:t>5</w:t>
      </w:r>
      <w:r w:rsidRPr="00847C67">
        <w:rPr>
          <w:lang w:val="ru"/>
        </w:rPr>
        <w:tab/>
        <w:t>Контроль качества в лабораториях УМС</w:t>
      </w:r>
      <w:bookmarkEnd w:id="18"/>
      <w:bookmarkEnd w:id="19"/>
      <w:bookmarkEnd w:id="20"/>
    </w:p>
    <w:p w14:paraId="39830614" w14:textId="77777777" w:rsidR="001F0C50" w:rsidRPr="0020290C" w:rsidRDefault="00AD1755" w:rsidP="00CA6CD8">
      <w:pPr>
        <w:pStyle w:val="120"/>
        <w:rPr>
          <w:lang w:val="ru-RU"/>
        </w:rPr>
      </w:pPr>
      <w:bookmarkStart w:id="21" w:name="bookmark995"/>
      <w:bookmarkStart w:id="22" w:name="bookmark994"/>
      <w:bookmarkStart w:id="23" w:name="_Toc93224192"/>
      <w:r w:rsidRPr="00847C67">
        <w:rPr>
          <w:lang w:val="ru"/>
        </w:rPr>
        <w:t>5.1</w:t>
      </w:r>
      <w:r w:rsidRPr="00847C67">
        <w:rPr>
          <w:lang w:val="ru"/>
        </w:rPr>
        <w:tab/>
        <w:t>Контроль качества эталонных методов</w:t>
      </w:r>
      <w:bookmarkEnd w:id="21"/>
      <w:bookmarkEnd w:id="22"/>
      <w:bookmarkEnd w:id="23"/>
    </w:p>
    <w:p w14:paraId="728D0A06" w14:textId="77777777" w:rsidR="00817293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Любая систематическая ошибка в рамках эталонного метода приводит к общей си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стематической ошибке для обычных результатов. Этот тип ошибки, который может существовать между лабораториями внутри страны (или организации) и между странами, сотрудничающими в рамках международных структур, таких как ICAR, обосновывает анализ рабочих хар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актеристик на обоих уровнях — национальном и международном.</w:t>
      </w:r>
    </w:p>
    <w:p w14:paraId="27C68370" w14:textId="77777777" w:rsidR="001F0C50" w:rsidRPr="0020290C" w:rsidRDefault="00AD1755" w:rsidP="00CA6CD8">
      <w:pPr>
        <w:pStyle w:val="130"/>
        <w:rPr>
          <w:lang w:val="ru-RU"/>
        </w:rPr>
      </w:pPr>
      <w:bookmarkStart w:id="24" w:name="bookmark997"/>
      <w:bookmarkStart w:id="25" w:name="bookmark998"/>
      <w:bookmarkStart w:id="26" w:name="bookmark996"/>
      <w:bookmarkStart w:id="27" w:name="_Toc93224193"/>
      <w:r w:rsidRPr="00847C67">
        <w:rPr>
          <w:lang w:val="ru"/>
        </w:rPr>
        <w:t>5.1.1</w:t>
      </w:r>
      <w:r w:rsidRPr="00847C67">
        <w:rPr>
          <w:lang w:val="ru"/>
        </w:rPr>
        <w:tab/>
        <w:t>Внешний контроль</w:t>
      </w:r>
      <w:bookmarkEnd w:id="24"/>
      <w:bookmarkEnd w:id="25"/>
      <w:bookmarkEnd w:id="26"/>
      <w:bookmarkEnd w:id="27"/>
    </w:p>
    <w:p w14:paraId="05AD31E3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Каждая производственная лаборатория УМС должна сотрудничать или иным образом быть связана с программой межлабораторных аттестационных испытаний (МАИ). Проверка квалификации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предпочтительно должна быть организована национальной эталонной или координационной лабораторией, назначенной для этой цели национальной организацией УМС. Эталонная лаборатория обеспечит прослеживаемость прецизионность аналитической методики благодаря регу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лярному участию в международных аттестационных испытаниях.</w:t>
      </w:r>
    </w:p>
    <w:p w14:paraId="605F8EE8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Примечание:</w:t>
      </w:r>
    </w:p>
    <w:p w14:paraId="4CFA3206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условиях недостаточного числа лабораторий для реализации национальной схемы, лаборатория может присоединиться к программам ПК, организованным национальным или международным провайдеро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 ПК, или к национальной схеме ПК УМС соседней страны.</w:t>
      </w:r>
    </w:p>
    <w:p w14:paraId="355DDE8E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Минимальная частота участия в межлабораторных аттестационных испытаниях должна быть 2 раза в год.</w:t>
      </w:r>
    </w:p>
    <w:p w14:paraId="6D2FC746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Национальные эталонные лаборатории должны принимать участие в международных проверках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квалификации не реже двух раз в год. Рекомендуется более частое участие.</w:t>
      </w:r>
    </w:p>
    <w:p w14:paraId="5CFCB287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ookmark999"/>
      <w:r w:rsidRPr="00847C67">
        <w:rPr>
          <w:rFonts w:ascii="Times New Roman" w:hAnsi="Times New Roman" w:cs="Times New Roman"/>
          <w:sz w:val="24"/>
          <w:szCs w:val="24"/>
          <w:lang w:val="ru"/>
        </w:rPr>
        <w:t>Эти испытания должны быть организованы в соответствии с международными стандартами или, в отсутствие такой возможности, международными руководящими принципами или соглашениями, как ук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азано в этом разделе.</w:t>
      </w:r>
      <w:bookmarkEnd w:id="28"/>
    </w:p>
    <w:p w14:paraId="6559C6AC" w14:textId="77777777" w:rsidR="001F0C50" w:rsidRPr="0020290C" w:rsidRDefault="00AD1755" w:rsidP="00CA6CD8">
      <w:pPr>
        <w:pStyle w:val="130"/>
        <w:rPr>
          <w:lang w:val="ru-RU"/>
        </w:rPr>
      </w:pPr>
      <w:bookmarkStart w:id="29" w:name="bookmark1000"/>
      <w:bookmarkStart w:id="30" w:name="_Toc93224194"/>
      <w:r w:rsidRPr="00847C67">
        <w:rPr>
          <w:lang w:val="ru"/>
        </w:rPr>
        <w:t>5.1.2</w:t>
      </w:r>
      <w:r w:rsidRPr="00847C67">
        <w:rPr>
          <w:lang w:val="ru"/>
        </w:rPr>
        <w:tab/>
        <w:t>Внутренний контроль</w:t>
      </w:r>
      <w:bookmarkEnd w:id="29"/>
      <w:bookmarkEnd w:id="30"/>
    </w:p>
    <w:p w14:paraId="4027A853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Рекомендуется использовать стандартные образцы (СО), при их наличии, для проверки точности и стабильности используемых эталонных методов путем сравнения с номинальными значениями. Их предпочтительно использов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ать при проведении эталонных анализов для калибровки стандартных методов.</w:t>
      </w:r>
    </w:p>
    <w:p w14:paraId="4C714AF3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Это могут быть:</w:t>
      </w:r>
    </w:p>
    <w:p w14:paraId="31551B1A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Сертифицированные стандартные образцы (ССО), произведенные признанной официальной организацией.</w:t>
      </w:r>
    </w:p>
    <w:p w14:paraId="28FD9195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Вторичные стандартные образцы (ВСО),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подготовленные внешним поставщиком.</w:t>
      </w:r>
    </w:p>
    <w:p w14:paraId="22C6D281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Стандартные образцы лаборатории (СОЛ), подготовленные самой лабораторией, прослеживаемость которых устанавливается с помощью ССО, ВСО или межлабораторных аттестационных испытаний.</w:t>
      </w:r>
    </w:p>
    <w:p w14:paraId="40865C61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Независимо от выбора, сделанного лабо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раторией, ССО и ВСО должны производиться и предоставляться в условиях обеспечения качества и в соответствии с международными стандартами или, в отсутствие такой возможности, международными руководствами или соглашениями, как указано в пункте 5.1.1 выше.</w:t>
      </w:r>
    </w:p>
    <w:p w14:paraId="7D92D3F2" w14:textId="77777777" w:rsidR="001F0C50" w:rsidRPr="0020290C" w:rsidRDefault="00AD1755" w:rsidP="00CA6CD8">
      <w:pPr>
        <w:pStyle w:val="120"/>
        <w:rPr>
          <w:lang w:val="ru-RU"/>
        </w:rPr>
      </w:pPr>
      <w:bookmarkStart w:id="31" w:name="bookmark1002"/>
      <w:bookmarkStart w:id="32" w:name="bookmark1001"/>
      <w:bookmarkStart w:id="33" w:name="_Toc93224195"/>
      <w:r w:rsidRPr="00847C67">
        <w:rPr>
          <w:lang w:val="ru"/>
        </w:rPr>
        <w:t>5.</w:t>
      </w:r>
      <w:r w:rsidRPr="00847C67">
        <w:rPr>
          <w:lang w:val="ru"/>
        </w:rPr>
        <w:t>2</w:t>
      </w:r>
      <w:r w:rsidRPr="00847C67">
        <w:rPr>
          <w:lang w:val="ru"/>
        </w:rPr>
        <w:tab/>
        <w:t>Контроль качества для стандартных методов</w:t>
      </w:r>
      <w:bookmarkEnd w:id="31"/>
      <w:bookmarkEnd w:id="32"/>
      <w:bookmarkEnd w:id="33"/>
    </w:p>
    <w:p w14:paraId="04D9DB89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Стандартные методы обеспечивают результаты, практически используемые для целей УМС, поэтому следует проверять их согласованность.</w:t>
      </w:r>
    </w:p>
    <w:p w14:paraId="34C7CA8C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bookmark1003"/>
      <w:r w:rsidRPr="00847C67">
        <w:rPr>
          <w:rFonts w:ascii="Times New Roman" w:hAnsi="Times New Roman" w:cs="Times New Roman"/>
          <w:sz w:val="24"/>
          <w:szCs w:val="24"/>
          <w:lang w:val="ru"/>
        </w:rPr>
        <w:t>С этой целью приводится ссылка на стандарт ISO 8196-2 | IDF 128-2.</w:t>
      </w:r>
      <w:bookmarkEnd w:id="34"/>
    </w:p>
    <w:p w14:paraId="6FB2240A" w14:textId="77777777" w:rsidR="001F0C50" w:rsidRPr="0020290C" w:rsidRDefault="00AD1755" w:rsidP="00CA6CD8">
      <w:pPr>
        <w:pStyle w:val="130"/>
        <w:rPr>
          <w:lang w:val="ru-RU"/>
        </w:rPr>
      </w:pPr>
      <w:bookmarkStart w:id="35" w:name="bookmark1004"/>
      <w:bookmarkStart w:id="36" w:name="_Toc93224196"/>
      <w:r w:rsidRPr="00847C67">
        <w:rPr>
          <w:lang w:val="ru"/>
        </w:rPr>
        <w:t>5.2.1.</w:t>
      </w:r>
      <w:r w:rsidRPr="00847C67">
        <w:rPr>
          <w:lang w:val="ru"/>
        </w:rPr>
        <w:tab/>
        <w:t xml:space="preserve">Внешний </w:t>
      </w:r>
      <w:r w:rsidRPr="00847C67">
        <w:rPr>
          <w:lang w:val="ru"/>
        </w:rPr>
        <w:t>контроль</w:t>
      </w:r>
      <w:bookmarkEnd w:id="35"/>
      <w:bookmarkEnd w:id="36"/>
    </w:p>
    <w:p w14:paraId="201D82E7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Периодическая проверка точности должна проводиться национальной экспертной лабораторией либо посредством индивидуального внешнего контроля (ИВК), путем сравнения стандартных методов с эталонным анализом образцов, репрезентативных для данной лабора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тории, либо посредством участия в межлабораторных аттестационных испытаниях (если убедительно продемонстрировано, что для всех лабораторий может использоваться единая калибровка). В последнем случае необходимо следовать рекомендациям пункта 5.1.1 выше. Рек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омендуемая минимальная частота калибровки — 2 раза в год.</w:t>
      </w:r>
    </w:p>
    <w:p w14:paraId="2733A7B8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Повторяемость и пригодность калибровки являются основными параметрами, подлежащими проверке. В зависимости от плана исследования могут быть оценены дополнительные аспекты, такие как сохранность обра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зца и инструментальные параметры, включая линейность, взаимные поправки (с моделями калибровки на основе многолинейной регрессии (МЛР)) и внутрилабораторная воспроизводимость.</w:t>
      </w:r>
    </w:p>
    <w:p w14:paraId="03B6027B" w14:textId="77777777" w:rsidR="001F0C50" w:rsidRPr="0020290C" w:rsidRDefault="00AD1755" w:rsidP="00CA6CD8">
      <w:pPr>
        <w:pStyle w:val="130"/>
        <w:rPr>
          <w:lang w:val="ru-RU"/>
        </w:rPr>
      </w:pPr>
      <w:bookmarkStart w:id="37" w:name="bookmark1006"/>
      <w:bookmarkStart w:id="38" w:name="bookmark1005"/>
      <w:bookmarkStart w:id="39" w:name="_Toc93224197"/>
      <w:r w:rsidRPr="00847C67">
        <w:rPr>
          <w:lang w:val="ru"/>
        </w:rPr>
        <w:t>5.2.2.</w:t>
      </w:r>
      <w:r w:rsidRPr="00847C67">
        <w:rPr>
          <w:lang w:val="ru"/>
        </w:rPr>
        <w:tab/>
        <w:t>Внутренний контроль</w:t>
      </w:r>
      <w:bookmarkEnd w:id="37"/>
      <w:bookmarkEnd w:id="38"/>
      <w:bookmarkEnd w:id="39"/>
    </w:p>
    <w:p w14:paraId="7889EAD8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Независимо от параметра, при типовых испытаниях в лаб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оратории должен проводиться внутренний контроль качества на основе стандартных методов.</w:t>
      </w:r>
    </w:p>
    <w:p w14:paraId="5E034938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целом стандарт ISO 8196 | IDF 128 не устанавливает предельные значения для каждого метода и/или компонента молока. Поэтому необходимо применять специальные стандарты,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при их наличии:</w:t>
      </w:r>
    </w:p>
    <w:p w14:paraId="3F1CC0C9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Жир, белок, лактоза и мочевина (спектрометрия в средней инфракрасной области): ISO 9622 | IDF 141.</w:t>
      </w:r>
    </w:p>
    <w:p w14:paraId="4D1CB7E2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Подсчет соматических клеток: ISO 13366-2 | IDF 148-2.</w:t>
      </w:r>
    </w:p>
    <w:p w14:paraId="61C74346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Приготовление контрольных или опорных проб, используемых для контроля стабильнос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ти прибора, должно производиться в условиях обеспечения качества (т. е. контроля качества на однородность и стабильность), при этом с соблюдением соответствующих указаний международных стандартов/руководств для стандартных образцов.</w:t>
      </w:r>
    </w:p>
    <w:p w14:paraId="346CBD08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Согласно ISO 8196 | IDF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128, основные проверки контроля качества проводятся в отношении:</w:t>
      </w:r>
    </w:p>
    <w:p w14:paraId="4A9CA543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Повторяемости.</w:t>
      </w:r>
    </w:p>
    <w:p w14:paraId="767CCE82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Суточной и кратковременной стабильности прибора.</w:t>
      </w:r>
    </w:p>
    <w:p w14:paraId="2D0B42E5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Калибровки.</w:t>
      </w:r>
    </w:p>
    <w:p w14:paraId="241213CD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Кроме того, рекомендуется проверять:</w:t>
      </w:r>
    </w:p>
    <w:p w14:paraId="648E5352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Остаточный эффект (все методы).</w:t>
      </w:r>
    </w:p>
    <w:p w14:paraId="431F654D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Линейность (все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методы).</w:t>
      </w:r>
    </w:p>
    <w:p w14:paraId="267E261F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Установка прибора на нуль (все методы).</w:t>
      </w:r>
    </w:p>
    <w:p w14:paraId="5089435C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Взаимные поправки (с моделями калибровки на основе МЛР).</w:t>
      </w:r>
    </w:p>
    <w:p w14:paraId="3CEA00EE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Гомогенизация (инфракрасн.).</w:t>
      </w:r>
    </w:p>
    <w:p w14:paraId="78328280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bookmark1007"/>
      <w:r w:rsidRPr="00847C67">
        <w:rPr>
          <w:rFonts w:ascii="Times New Roman" w:hAnsi="Times New Roman" w:cs="Times New Roman"/>
          <w:sz w:val="24"/>
          <w:szCs w:val="24"/>
          <w:lang w:val="ru"/>
        </w:rPr>
        <w:t>Рекомендуется соблюдать требования по частотам и ограничениям, приведенные в пункте 7 ниже.</w:t>
      </w:r>
      <w:bookmarkEnd w:id="40"/>
    </w:p>
    <w:p w14:paraId="44C552C0" w14:textId="77777777" w:rsidR="001F0C50" w:rsidRPr="0020290C" w:rsidRDefault="00AD1755" w:rsidP="00CA6CD8">
      <w:pPr>
        <w:pStyle w:val="110"/>
        <w:rPr>
          <w:lang w:val="ru-RU"/>
        </w:rPr>
      </w:pPr>
      <w:bookmarkStart w:id="41" w:name="bookmark1008"/>
      <w:bookmarkStart w:id="42" w:name="_Toc93224198"/>
      <w:r w:rsidRPr="00847C67">
        <w:rPr>
          <w:lang w:val="ru"/>
        </w:rPr>
        <w:t>6</w:t>
      </w:r>
      <w:r w:rsidRPr="00847C67">
        <w:rPr>
          <w:lang w:val="ru"/>
        </w:rPr>
        <w:tab/>
        <w:t>Требования к средс</w:t>
      </w:r>
      <w:r w:rsidRPr="00847C67">
        <w:rPr>
          <w:lang w:val="ru"/>
        </w:rPr>
        <w:t>твам аналитического контроля качества и обеспечения качества</w:t>
      </w:r>
      <w:bookmarkEnd w:id="41"/>
      <w:bookmarkEnd w:id="42"/>
    </w:p>
    <w:p w14:paraId="6104591A" w14:textId="77777777" w:rsidR="001F0C50" w:rsidRPr="0020290C" w:rsidRDefault="00AD1755" w:rsidP="00CA6CD8">
      <w:pPr>
        <w:pStyle w:val="120"/>
        <w:rPr>
          <w:lang w:val="ru-RU"/>
        </w:rPr>
      </w:pPr>
      <w:bookmarkStart w:id="43" w:name="bookmark1010"/>
      <w:bookmarkStart w:id="44" w:name="bookmark1009"/>
      <w:bookmarkStart w:id="45" w:name="_Toc93224199"/>
      <w:r w:rsidRPr="00847C67">
        <w:rPr>
          <w:lang w:val="ru"/>
        </w:rPr>
        <w:t>6.1</w:t>
      </w:r>
      <w:r w:rsidRPr="00847C67">
        <w:rPr>
          <w:lang w:val="ru"/>
        </w:rPr>
        <w:tab/>
        <w:t>Межлабораторные аттестационные испытания</w:t>
      </w:r>
      <w:bookmarkEnd w:id="43"/>
      <w:bookmarkEnd w:id="44"/>
      <w:bookmarkEnd w:id="45"/>
    </w:p>
    <w:p w14:paraId="7EDB33FA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Межлабораторные аттестационные испытания должны быть организованы в условиях обеспечения качества в соответствии с международными стандартами или, в 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тсутствие такой возможности, международными руководствами или соглашениями:</w:t>
      </w:r>
    </w:p>
    <w:p w14:paraId="3A65EF7D" w14:textId="77777777" w:rsidR="001F0C50" w:rsidRPr="00847C67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290C">
        <w:rPr>
          <w:rFonts w:ascii="Times New Roman" w:hAnsi="Times New Roman" w:cs="Times New Roman"/>
          <w:sz w:val="24"/>
          <w:szCs w:val="24"/>
        </w:rPr>
        <w:t>a.</w:t>
      </w:r>
      <w:r w:rsidRPr="0020290C">
        <w:rPr>
          <w:rFonts w:ascii="Times New Roman" w:hAnsi="Times New Roman" w:cs="Times New Roman"/>
          <w:sz w:val="24"/>
          <w:szCs w:val="24"/>
        </w:rPr>
        <w:tab/>
        <w:t>ISO 17043.</w:t>
      </w:r>
    </w:p>
    <w:p w14:paraId="73A15703" w14:textId="77777777" w:rsidR="001F0C50" w:rsidRPr="00847C67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290C">
        <w:rPr>
          <w:rFonts w:ascii="Times New Roman" w:hAnsi="Times New Roman" w:cs="Times New Roman"/>
          <w:sz w:val="24"/>
          <w:szCs w:val="24"/>
        </w:rPr>
        <w:t>b.</w:t>
      </w:r>
      <w:r w:rsidRPr="0020290C">
        <w:rPr>
          <w:rFonts w:ascii="Times New Roman" w:hAnsi="Times New Roman" w:cs="Times New Roman"/>
          <w:sz w:val="24"/>
          <w:szCs w:val="24"/>
        </w:rPr>
        <w:tab/>
        <w:t>ILAC-G13.</w:t>
      </w:r>
    </w:p>
    <w:p w14:paraId="0F940EAC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Международный согласованный протокол проверки квалификации (химических) аналитических лабораторий (Бюллетень IDF 342:1999).</w:t>
      </w:r>
    </w:p>
    <w:p w14:paraId="3E038446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Стандарт ISO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13528.</w:t>
      </w:r>
    </w:p>
    <w:p w14:paraId="27F63637" w14:textId="77777777" w:rsidR="001F0C50" w:rsidRPr="0020290C" w:rsidRDefault="00AD1755" w:rsidP="00CA6CD8">
      <w:pPr>
        <w:pStyle w:val="120"/>
        <w:rPr>
          <w:lang w:val="ru-RU"/>
        </w:rPr>
      </w:pPr>
      <w:bookmarkStart w:id="46" w:name="bookmark1012"/>
      <w:bookmarkStart w:id="47" w:name="bookmark1011"/>
      <w:bookmarkStart w:id="48" w:name="_Toc93224200"/>
      <w:r w:rsidRPr="00847C67">
        <w:rPr>
          <w:lang w:val="ru"/>
        </w:rPr>
        <w:t>6.2</w:t>
      </w:r>
      <w:r w:rsidRPr="00847C67">
        <w:rPr>
          <w:lang w:val="ru"/>
        </w:rPr>
        <w:tab/>
        <w:t>Стандартные образцы</w:t>
      </w:r>
      <w:bookmarkEnd w:id="46"/>
      <w:bookmarkEnd w:id="47"/>
      <w:bookmarkEnd w:id="48"/>
    </w:p>
    <w:p w14:paraId="2B8AAC15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Стандартные образцы, используемые для аналитических целей УМС, должны производиться в условиях обеспечения качества в соответствии с международными стандартами или, в отсутствие такой возможности, международными руководствами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или соглашениями:</w:t>
      </w:r>
    </w:p>
    <w:p w14:paraId="01F85BC7" w14:textId="77777777" w:rsidR="00817293" w:rsidRPr="00847C67" w:rsidRDefault="00AD1755" w:rsidP="00CA6CD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290C">
        <w:rPr>
          <w:rFonts w:ascii="Times New Roman" w:hAnsi="Times New Roman" w:cs="Times New Roman"/>
          <w:sz w:val="24"/>
          <w:szCs w:val="24"/>
        </w:rPr>
        <w:t>a.</w:t>
      </w:r>
      <w:r w:rsidRPr="0020290C">
        <w:rPr>
          <w:rFonts w:ascii="Times New Roman" w:hAnsi="Times New Roman" w:cs="Times New Roman"/>
          <w:sz w:val="24"/>
          <w:szCs w:val="24"/>
        </w:rPr>
        <w:tab/>
        <w:t>ISO 17034</w:t>
      </w:r>
    </w:p>
    <w:p w14:paraId="2FE592F9" w14:textId="77777777" w:rsidR="001F0C50" w:rsidRPr="00847C67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290C">
        <w:rPr>
          <w:rFonts w:ascii="Times New Roman" w:hAnsi="Times New Roman" w:cs="Times New Roman"/>
          <w:sz w:val="24"/>
          <w:szCs w:val="24"/>
        </w:rPr>
        <w:t>b.</w:t>
      </w:r>
      <w:r w:rsidRPr="0020290C">
        <w:rPr>
          <w:rFonts w:ascii="Times New Roman" w:hAnsi="Times New Roman" w:cs="Times New Roman"/>
          <w:sz w:val="24"/>
          <w:szCs w:val="24"/>
        </w:rPr>
        <w:tab/>
        <w:t>ILAC-G9.</w:t>
      </w:r>
    </w:p>
    <w:p w14:paraId="15441E59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ILAC-G12.</w:t>
      </w:r>
    </w:p>
    <w:p w14:paraId="714CF62D" w14:textId="77777777" w:rsidR="001F0C50" w:rsidRPr="0020290C" w:rsidRDefault="00AD1755" w:rsidP="00CA6CD8">
      <w:pPr>
        <w:pStyle w:val="120"/>
        <w:rPr>
          <w:lang w:val="ru-RU"/>
        </w:rPr>
      </w:pPr>
      <w:bookmarkStart w:id="49" w:name="bookmark1014"/>
      <w:bookmarkStart w:id="50" w:name="bookmark1013"/>
      <w:bookmarkStart w:id="51" w:name="_Toc93224201"/>
      <w:r w:rsidRPr="00847C67">
        <w:rPr>
          <w:lang w:val="ru"/>
        </w:rPr>
        <w:t>6.3</w:t>
      </w:r>
      <w:r w:rsidRPr="00847C67">
        <w:rPr>
          <w:lang w:val="ru"/>
        </w:rPr>
        <w:tab/>
        <w:t>Выбор поставщиков услуг по аналитическому контролю качества (АКА)</w:t>
      </w:r>
      <w:bookmarkEnd w:id="49"/>
      <w:bookmarkEnd w:id="50"/>
      <w:bookmarkEnd w:id="51"/>
    </w:p>
    <w:p w14:paraId="308CFEE1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Выбор лабораториями УМС поставщиков услуг по обеспечению аналитического качества (АКА), т. е. проверки квалификации и стандартных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образцов, должен осуществляться в тесной связи с общей системой АКА УМС.</w:t>
      </w:r>
    </w:p>
    <w:p w14:paraId="2C1AD22F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Поставщики услуг должны действовать в соответствии с процедурами обеспечения качества и иметь возможность предоставить соответствующее документальное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подтверждение.</w:t>
      </w:r>
    </w:p>
    <w:p w14:paraId="1BFE23C0" w14:textId="77777777" w:rsidR="00B05E6A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Поставщики услуг должны периодически проходить независимый (сторонний) аудит для оценки соответствия их системы обеспечения качества. Такие аудиты могут проводиться специалистами по аккредитации, комиссиями с участием представителей заказчика, экспертами,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действующими от имени национальной организации УМС, при условии гарантии их компетентности и независимости, а также проведения аудитов в соответствии с рекомендациями ISO и ILAC.</w:t>
      </w:r>
    </w:p>
    <w:p w14:paraId="7FAE4BF2" w14:textId="77777777" w:rsidR="00817293" w:rsidRPr="0020290C" w:rsidRDefault="00AD1755" w:rsidP="00817293">
      <w:pPr>
        <w:spacing w:after="120"/>
        <w:jc w:val="both"/>
        <w:rPr>
          <w:lang w:val="ru-RU"/>
        </w:rPr>
      </w:pPr>
      <w:bookmarkStart w:id="52" w:name="bookmark1017"/>
      <w:bookmarkStart w:id="53" w:name="bookmark1018"/>
      <w:bookmarkStart w:id="54" w:name="bookmark1019"/>
      <w:bookmarkStart w:id="55" w:name="bookmark1020"/>
      <w:bookmarkStart w:id="56" w:name="bookmark1021"/>
      <w:bookmarkStart w:id="57" w:name="bookmark1015"/>
      <w:bookmarkStart w:id="58" w:name="bookmark1016"/>
      <w:r w:rsidRPr="0020290C">
        <w:rPr>
          <w:lang w:val="ru-RU"/>
        </w:rPr>
        <w:br w:type="page"/>
      </w:r>
    </w:p>
    <w:p w14:paraId="5CA482E4" w14:textId="77777777" w:rsidR="001F0C50" w:rsidRPr="0020290C" w:rsidRDefault="00AD1755" w:rsidP="00CA6CD8">
      <w:pPr>
        <w:pStyle w:val="110"/>
        <w:rPr>
          <w:lang w:val="ru-RU"/>
        </w:rPr>
      </w:pPr>
      <w:bookmarkStart w:id="59" w:name="_Toc93224202"/>
      <w:r>
        <w:rPr>
          <w:lang w:val="ru"/>
        </w:rPr>
        <w:lastRenderedPageBreak/>
        <w:t>7</w:t>
      </w:r>
      <w:r>
        <w:rPr>
          <w:lang w:val="ru"/>
        </w:rPr>
        <w:tab/>
        <w:t>Приложение 1. Аналитический контроль качества в лабораториях по анализу м</w:t>
      </w:r>
      <w:r>
        <w:rPr>
          <w:lang w:val="ru"/>
        </w:rPr>
        <w:t>олока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2E3E47F6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Предполагается, что выполнение этих требований обеспечит удовлетворительный минимальный уровень качества аналитических измерений, а также сопоставимость для разных лабораторий и стран. Следующая схема должна быть либо внедрена незамедлительно, либо 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адана как целевая.</w:t>
      </w:r>
    </w:p>
    <w:p w14:paraId="265B67C2" w14:textId="77777777" w:rsidR="001F0C50" w:rsidRPr="0020290C" w:rsidRDefault="00AD1755" w:rsidP="00CA6CD8">
      <w:pPr>
        <w:pStyle w:val="120"/>
        <w:rPr>
          <w:lang w:val="ru-RU"/>
        </w:rPr>
      </w:pPr>
      <w:bookmarkStart w:id="60" w:name="bookmark1023"/>
      <w:bookmarkStart w:id="61" w:name="bookmark1022"/>
      <w:bookmarkStart w:id="62" w:name="_Toc93224203"/>
      <w:r w:rsidRPr="00847C67">
        <w:rPr>
          <w:lang w:val="ru"/>
        </w:rPr>
        <w:t>7.1</w:t>
      </w:r>
      <w:r w:rsidRPr="00847C67">
        <w:rPr>
          <w:lang w:val="ru"/>
        </w:rPr>
        <w:tab/>
        <w:t>Компоненты контроля качества и рекомендуемая минимальная периодичность</w:t>
      </w:r>
      <w:bookmarkEnd w:id="60"/>
      <w:bookmarkEnd w:id="61"/>
      <w:bookmarkEnd w:id="62"/>
    </w:p>
    <w:p w14:paraId="1BA84A95" w14:textId="77777777" w:rsidR="001F0C50" w:rsidRPr="0020290C" w:rsidRDefault="00AD1755" w:rsidP="00CA6CD8">
      <w:pPr>
        <w:pStyle w:val="1tab"/>
        <w:rPr>
          <w:lang w:val="ru-RU"/>
        </w:rPr>
      </w:pPr>
      <w:bookmarkStart w:id="63" w:name="bookmark1024"/>
      <w:bookmarkStart w:id="64" w:name="_Toc93224228"/>
      <w:r w:rsidRPr="00847C67">
        <w:rPr>
          <w:lang w:val="ru"/>
        </w:rPr>
        <w:t>Таблица 1. Компоненты контроля качества и рекомендуемая минимальная периодичность.</w:t>
      </w:r>
      <w:bookmarkEnd w:id="63"/>
      <w:bookmarkEnd w:id="6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2995"/>
        <w:gridCol w:w="2587"/>
      </w:tblGrid>
      <w:tr w:rsidR="008E387F" w14:paraId="33B62A19" w14:textId="77777777" w:rsidTr="00CA6CD8">
        <w:trPr>
          <w:tblHeader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41E61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Контроль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24970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Периодичность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C3F5B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Режим</w:t>
            </w:r>
          </w:p>
        </w:tc>
      </w:tr>
      <w:tr w:rsidR="008E387F" w14:paraId="5C5ABCF0" w14:textId="77777777" w:rsidTr="00CA6CD8"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14:paraId="6E79D8F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Эталонные методы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</w:tcPr>
          <w:p w14:paraId="5385A4C5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</w:tcPr>
          <w:p w14:paraId="490EEB03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26E666D7" w14:textId="77777777" w:rsidTr="009212D4">
        <w:tc>
          <w:tcPr>
            <w:tcW w:w="3139" w:type="dxa"/>
            <w:shd w:val="clear" w:color="auto" w:fill="FFFFFF"/>
          </w:tcPr>
          <w:p w14:paraId="200F1DC7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Внешний контроль</w:t>
            </w:r>
          </w:p>
        </w:tc>
        <w:tc>
          <w:tcPr>
            <w:tcW w:w="2995" w:type="dxa"/>
            <w:shd w:val="clear" w:color="auto" w:fill="FFFFFF"/>
          </w:tcPr>
          <w:p w14:paraId="7EF625E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 в </w:t>
            </w: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полгода</w:t>
            </w:r>
          </w:p>
        </w:tc>
        <w:tc>
          <w:tcPr>
            <w:tcW w:w="2587" w:type="dxa"/>
            <w:shd w:val="clear" w:color="auto" w:fill="FFFFFF"/>
          </w:tcPr>
          <w:p w14:paraId="4419A547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МАИ</w:t>
            </w:r>
          </w:p>
        </w:tc>
      </w:tr>
      <w:tr w:rsidR="008E387F" w14:paraId="3CE33074" w14:textId="77777777" w:rsidTr="009212D4">
        <w:tc>
          <w:tcPr>
            <w:tcW w:w="3139" w:type="dxa"/>
            <w:shd w:val="clear" w:color="auto" w:fill="FFFFFF"/>
          </w:tcPr>
          <w:p w14:paraId="70041BF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Внутренний контроль</w:t>
            </w:r>
          </w:p>
        </w:tc>
        <w:tc>
          <w:tcPr>
            <w:tcW w:w="2995" w:type="dxa"/>
            <w:vMerge w:val="restart"/>
            <w:shd w:val="clear" w:color="auto" w:fill="FFFFFF"/>
          </w:tcPr>
          <w:p w14:paraId="68B1FF70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Еженедельно (проверка разности средних значений)</w:t>
            </w:r>
          </w:p>
        </w:tc>
        <w:tc>
          <w:tcPr>
            <w:tcW w:w="2587" w:type="dxa"/>
            <w:shd w:val="clear" w:color="auto" w:fill="FFFFFF"/>
          </w:tcPr>
          <w:p w14:paraId="0FA15FC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ССО, ВСО, СОЛ</w:t>
            </w:r>
          </w:p>
        </w:tc>
      </w:tr>
      <w:tr w:rsidR="008E387F" w14:paraId="494FAFFB" w14:textId="77777777" w:rsidTr="009212D4">
        <w:tc>
          <w:tcPr>
            <w:tcW w:w="3139" w:type="dxa"/>
            <w:shd w:val="clear" w:color="auto" w:fill="FFFFFF"/>
          </w:tcPr>
          <w:p w14:paraId="72C69499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995" w:type="dxa"/>
            <w:vMerge/>
            <w:shd w:val="clear" w:color="auto" w:fill="FFFFFF"/>
          </w:tcPr>
          <w:p w14:paraId="473FB634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587" w:type="dxa"/>
            <w:shd w:val="clear" w:color="auto" w:fill="FFFFFF"/>
          </w:tcPr>
          <w:p w14:paraId="723DD635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60192447" w14:textId="77777777" w:rsidTr="009212D4">
        <w:tc>
          <w:tcPr>
            <w:tcW w:w="3139" w:type="dxa"/>
            <w:shd w:val="clear" w:color="auto" w:fill="FFFFFF"/>
          </w:tcPr>
          <w:p w14:paraId="111F0C6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Стандартные методы</w:t>
            </w:r>
          </w:p>
        </w:tc>
        <w:tc>
          <w:tcPr>
            <w:tcW w:w="2995" w:type="dxa"/>
            <w:shd w:val="clear" w:color="auto" w:fill="FFFFFF"/>
          </w:tcPr>
          <w:p w14:paraId="6F2C55B6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587" w:type="dxa"/>
            <w:shd w:val="clear" w:color="auto" w:fill="FFFFFF"/>
          </w:tcPr>
          <w:p w14:paraId="12E11617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372A4ECF" w14:textId="77777777" w:rsidTr="009212D4">
        <w:tc>
          <w:tcPr>
            <w:tcW w:w="3139" w:type="dxa"/>
            <w:shd w:val="clear" w:color="auto" w:fill="FFFFFF"/>
          </w:tcPr>
          <w:p w14:paraId="3F91B34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Внешний контроль</w:t>
            </w:r>
          </w:p>
        </w:tc>
        <w:tc>
          <w:tcPr>
            <w:tcW w:w="2995" w:type="dxa"/>
            <w:shd w:val="clear" w:color="auto" w:fill="FFFFFF"/>
          </w:tcPr>
          <w:p w14:paraId="53976B7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 в полгода</w:t>
            </w:r>
          </w:p>
        </w:tc>
        <w:tc>
          <w:tcPr>
            <w:tcW w:w="2587" w:type="dxa"/>
            <w:shd w:val="clear" w:color="auto" w:fill="FFFFFF"/>
          </w:tcPr>
          <w:p w14:paraId="730237F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МАИ/ИВК</w:t>
            </w:r>
          </w:p>
        </w:tc>
      </w:tr>
      <w:tr w:rsidR="008E387F" w14:paraId="699CB85E" w14:textId="77777777" w:rsidTr="009212D4">
        <w:tc>
          <w:tcPr>
            <w:tcW w:w="3139" w:type="dxa"/>
            <w:tcBorders>
              <w:bottom w:val="single" w:sz="4" w:space="0" w:color="auto"/>
            </w:tcBorders>
            <w:shd w:val="clear" w:color="auto" w:fill="FFFFFF"/>
          </w:tcPr>
          <w:p w14:paraId="6D1E1EB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 Внутренний контроль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FFFF"/>
          </w:tcPr>
          <w:p w14:paraId="378CF8D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(см. 1.1)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FFFFFF"/>
          </w:tcPr>
          <w:p w14:paraId="3633504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СОЛ</w:t>
            </w:r>
          </w:p>
        </w:tc>
      </w:tr>
    </w:tbl>
    <w:p w14:paraId="3C59EDE7" w14:textId="77777777" w:rsidR="001F0C50" w:rsidRPr="0020290C" w:rsidRDefault="00AD1755" w:rsidP="00CA6CD8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МАИ (IPT): Межлабораторные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аттестационные испытания.</w:t>
      </w:r>
    </w:p>
    <w:p w14:paraId="61088524" w14:textId="77777777" w:rsidR="001F0C50" w:rsidRPr="0020290C" w:rsidRDefault="00AD1755" w:rsidP="00CA6CD8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ССО (CRM): Сертифицированные стандартные образцы</w:t>
      </w:r>
    </w:p>
    <w:p w14:paraId="1EE8A832" w14:textId="77777777" w:rsidR="001F0C50" w:rsidRPr="0020290C" w:rsidRDefault="00AD1755" w:rsidP="00CA6CD8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ИВК (IEC): Индивидуальный внешний контроль.</w:t>
      </w:r>
    </w:p>
    <w:p w14:paraId="5E895224" w14:textId="77777777" w:rsidR="001F0C50" w:rsidRPr="0020290C" w:rsidRDefault="00AD1755" w:rsidP="00CA6CD8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ВСО (SRM): Вторичные стандартные образцы.</w:t>
      </w:r>
    </w:p>
    <w:p w14:paraId="55210FF6" w14:textId="77777777" w:rsidR="001F0C50" w:rsidRPr="0020290C" w:rsidRDefault="00AD1755" w:rsidP="00CA6CD8">
      <w:pPr>
        <w:pStyle w:val="a9"/>
        <w:shd w:val="clear" w:color="auto" w:fill="auto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СОЛ (IRM): Стандартные образцы лаборатории.</w:t>
      </w:r>
    </w:p>
    <w:p w14:paraId="706E24E2" w14:textId="77777777" w:rsidR="001F0C50" w:rsidRPr="0020290C" w:rsidRDefault="00AD1755" w:rsidP="00CA6CD8">
      <w:pPr>
        <w:pStyle w:val="120"/>
        <w:rPr>
          <w:lang w:val="ru-RU"/>
        </w:rPr>
      </w:pPr>
      <w:bookmarkStart w:id="65" w:name="bookmark1026"/>
      <w:bookmarkStart w:id="66" w:name="bookmark1025"/>
      <w:bookmarkStart w:id="67" w:name="_Toc93224204"/>
      <w:r w:rsidRPr="00847C67">
        <w:rPr>
          <w:lang w:val="ru"/>
        </w:rPr>
        <w:t>7.2</w:t>
      </w:r>
      <w:r w:rsidRPr="00847C67">
        <w:rPr>
          <w:lang w:val="ru"/>
        </w:rPr>
        <w:tab/>
        <w:t>Периодичность и ограничения для стандартных мет</w:t>
      </w:r>
      <w:r w:rsidRPr="00847C67">
        <w:rPr>
          <w:lang w:val="ru"/>
        </w:rPr>
        <w:t>одов</w:t>
      </w:r>
      <w:bookmarkEnd w:id="65"/>
      <w:bookmarkEnd w:id="66"/>
      <w:bookmarkEnd w:id="67"/>
    </w:p>
    <w:p w14:paraId="4C89EE1C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Периодичность и пределы, указанные ниже в Таблице 2, частично определены в существующих стандартах ISO/стандартах IDF или являются производными от содержащихся в них рекомендаций. Другие значения являются ориентировочными, поскольку они не определены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 стандарте. Опыт покажет, подходят ли эти значения для всех лабораторий.</w:t>
      </w:r>
    </w:p>
    <w:p w14:paraId="62807353" w14:textId="77777777" w:rsidR="00B05E6A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Ограничения, указанные ниже в Таблице 2, предлагаются в качестве «пределов действий» для внутреннего контроля приборов. Их следует рассматривать исключительно в качестве целей для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пользователей и не использовать для внешних оценок, для которых более подходящими могут оказаться другие (более высокие) значения.</w:t>
      </w:r>
    </w:p>
    <w:p w14:paraId="74D5181B" w14:textId="77777777" w:rsidR="001F0C50" w:rsidRPr="0020290C" w:rsidRDefault="00AD1755" w:rsidP="00CA6CD8">
      <w:pPr>
        <w:pStyle w:val="1tab"/>
        <w:rPr>
          <w:lang w:val="ru-RU"/>
        </w:rPr>
      </w:pPr>
      <w:bookmarkStart w:id="68" w:name="bookmark1027"/>
      <w:bookmarkStart w:id="69" w:name="_Toc93224229"/>
      <w:r w:rsidRPr="00847C67">
        <w:rPr>
          <w:lang w:val="ru"/>
        </w:rPr>
        <w:t>Таблица 2. Минимальная периодичность и пределы для проверки посредством стандартных методов.</w:t>
      </w:r>
      <w:bookmarkEnd w:id="68"/>
      <w:bookmarkEnd w:id="6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"/>
        <w:gridCol w:w="2030"/>
        <w:gridCol w:w="1704"/>
        <w:gridCol w:w="1618"/>
        <w:gridCol w:w="614"/>
        <w:gridCol w:w="2218"/>
        <w:gridCol w:w="557"/>
      </w:tblGrid>
      <w:tr w:rsidR="008E387F" w14:paraId="7FE062EA" w14:textId="77777777" w:rsidTr="00CA6CD8">
        <w:trPr>
          <w:tblHeader/>
        </w:trPr>
        <w:tc>
          <w:tcPr>
            <w:tcW w:w="2193" w:type="dxa"/>
            <w:gridSpan w:val="2"/>
            <w:shd w:val="clear" w:color="auto" w:fill="FFFFFF"/>
          </w:tcPr>
          <w:p w14:paraId="2E0AC5A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Проверка</w:t>
            </w:r>
          </w:p>
        </w:tc>
        <w:tc>
          <w:tcPr>
            <w:tcW w:w="1704" w:type="dxa"/>
            <w:shd w:val="clear" w:color="auto" w:fill="FFFFFF"/>
          </w:tcPr>
          <w:p w14:paraId="6E4DB5F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Периодичность</w:t>
            </w:r>
          </w:p>
        </w:tc>
        <w:tc>
          <w:tcPr>
            <w:tcW w:w="1618" w:type="dxa"/>
            <w:shd w:val="clear" w:color="auto" w:fill="FFFFFF"/>
          </w:tcPr>
          <w:p w14:paraId="364BA3B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br/>
              <w:t xml:space="preserve"> Пределы</w:t>
            </w: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: жир, белок, лактоза</w:t>
            </w:r>
          </w:p>
        </w:tc>
        <w:tc>
          <w:tcPr>
            <w:tcW w:w="614" w:type="dxa"/>
            <w:shd w:val="clear" w:color="auto" w:fill="FFFFFF"/>
          </w:tcPr>
          <w:p w14:paraId="0ED3B603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6AFA5C77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Пределы ПСК</w:t>
            </w:r>
          </w:p>
        </w:tc>
        <w:tc>
          <w:tcPr>
            <w:tcW w:w="557" w:type="dxa"/>
            <w:shd w:val="clear" w:color="auto" w:fill="FFFFFF"/>
          </w:tcPr>
          <w:p w14:paraId="21BA3718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1B8A5548" w14:textId="77777777" w:rsidTr="009212D4">
        <w:tc>
          <w:tcPr>
            <w:tcW w:w="3897" w:type="dxa"/>
            <w:gridSpan w:val="3"/>
            <w:shd w:val="clear" w:color="auto" w:fill="FFFFFF"/>
          </w:tcPr>
          <w:p w14:paraId="5E3FAAF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Инструментальные настройки</w:t>
            </w:r>
          </w:p>
        </w:tc>
        <w:tc>
          <w:tcPr>
            <w:tcW w:w="1618" w:type="dxa"/>
            <w:shd w:val="clear" w:color="auto" w:fill="FFFFFF"/>
          </w:tcPr>
          <w:p w14:paraId="4B8F68AD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57AF9A99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06CAD30D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557" w:type="dxa"/>
            <w:shd w:val="clear" w:color="auto" w:fill="FFFFFF"/>
          </w:tcPr>
          <w:p w14:paraId="2E0F49AE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3E83C43C" w14:textId="77777777" w:rsidTr="009212D4">
        <w:tc>
          <w:tcPr>
            <w:tcW w:w="163" w:type="dxa"/>
            <w:shd w:val="clear" w:color="auto" w:fill="FFFFFF"/>
          </w:tcPr>
          <w:p w14:paraId="24F6600F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1ACFDC1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Гомогенизация</w:t>
            </w:r>
          </w:p>
        </w:tc>
        <w:tc>
          <w:tcPr>
            <w:tcW w:w="1704" w:type="dxa"/>
            <w:shd w:val="clear" w:color="auto" w:fill="FFFFFF"/>
          </w:tcPr>
          <w:p w14:paraId="333A4FF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Ежемесячно</w:t>
            </w:r>
          </w:p>
        </w:tc>
        <w:tc>
          <w:tcPr>
            <w:tcW w:w="1618" w:type="dxa"/>
            <w:shd w:val="clear" w:color="auto" w:fill="FFFFFF"/>
          </w:tcPr>
          <w:p w14:paraId="5F1B989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≤1,0% отн.</w:t>
            </w:r>
          </w:p>
        </w:tc>
        <w:tc>
          <w:tcPr>
            <w:tcW w:w="614" w:type="dxa"/>
            <w:shd w:val="clear" w:color="auto" w:fill="FFFFFF"/>
          </w:tcPr>
          <w:p w14:paraId="40BABAF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(a)</w:t>
            </w:r>
          </w:p>
        </w:tc>
        <w:tc>
          <w:tcPr>
            <w:tcW w:w="2218" w:type="dxa"/>
            <w:shd w:val="clear" w:color="auto" w:fill="FFFFFF"/>
          </w:tcPr>
          <w:p w14:paraId="56A38034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 применимо</w:t>
            </w:r>
          </w:p>
        </w:tc>
        <w:tc>
          <w:tcPr>
            <w:tcW w:w="557" w:type="dxa"/>
            <w:shd w:val="clear" w:color="auto" w:fill="FFFFFF"/>
          </w:tcPr>
          <w:p w14:paraId="597A2900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0057A6DE" w14:textId="77777777" w:rsidTr="009212D4">
        <w:tc>
          <w:tcPr>
            <w:tcW w:w="163" w:type="dxa"/>
            <w:shd w:val="clear" w:color="auto" w:fill="FFFFFF"/>
          </w:tcPr>
          <w:p w14:paraId="600C0677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4860E6C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Перенос</w:t>
            </w:r>
          </w:p>
        </w:tc>
        <w:tc>
          <w:tcPr>
            <w:tcW w:w="1704" w:type="dxa"/>
            <w:shd w:val="clear" w:color="auto" w:fill="FFFFFF"/>
          </w:tcPr>
          <w:p w14:paraId="48837C6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Ежемесячно</w:t>
            </w:r>
          </w:p>
        </w:tc>
        <w:tc>
          <w:tcPr>
            <w:tcW w:w="1618" w:type="dxa"/>
            <w:shd w:val="clear" w:color="auto" w:fill="FFFFFF"/>
          </w:tcPr>
          <w:p w14:paraId="77482FC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≤1% отн.</w:t>
            </w:r>
          </w:p>
        </w:tc>
        <w:tc>
          <w:tcPr>
            <w:tcW w:w="614" w:type="dxa"/>
            <w:shd w:val="clear" w:color="auto" w:fill="FFFFFF"/>
          </w:tcPr>
          <w:p w14:paraId="275E575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(a)</w:t>
            </w:r>
          </w:p>
        </w:tc>
        <w:tc>
          <w:tcPr>
            <w:tcW w:w="2218" w:type="dxa"/>
            <w:shd w:val="clear" w:color="auto" w:fill="FFFFFF"/>
          </w:tcPr>
          <w:p w14:paraId="69486683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≤2% отн.</w:t>
            </w:r>
          </w:p>
        </w:tc>
        <w:tc>
          <w:tcPr>
            <w:tcW w:w="557" w:type="dxa"/>
            <w:shd w:val="clear" w:color="auto" w:fill="FFFFFF"/>
          </w:tcPr>
          <w:p w14:paraId="1991904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(b)</w:t>
            </w:r>
          </w:p>
        </w:tc>
      </w:tr>
      <w:tr w:rsidR="008E387F" w14:paraId="17D87C8F" w14:textId="77777777" w:rsidTr="009212D4">
        <w:tc>
          <w:tcPr>
            <w:tcW w:w="163" w:type="dxa"/>
            <w:shd w:val="clear" w:color="auto" w:fill="FFFFFF"/>
          </w:tcPr>
          <w:p w14:paraId="3DA94E4B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232D5D34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Линейность (изгиб)</w:t>
            </w:r>
          </w:p>
        </w:tc>
        <w:tc>
          <w:tcPr>
            <w:tcW w:w="1704" w:type="dxa"/>
            <w:shd w:val="clear" w:color="auto" w:fill="FFFFFF"/>
          </w:tcPr>
          <w:p w14:paraId="1E5D607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Ежеквартально</w:t>
            </w:r>
          </w:p>
        </w:tc>
        <w:tc>
          <w:tcPr>
            <w:tcW w:w="1618" w:type="dxa"/>
            <w:shd w:val="clear" w:color="auto" w:fill="FFFFFF"/>
          </w:tcPr>
          <w:p w14:paraId="7F4AA77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≤2% диапазона</w:t>
            </w:r>
          </w:p>
        </w:tc>
        <w:tc>
          <w:tcPr>
            <w:tcW w:w="614" w:type="dxa"/>
            <w:shd w:val="clear" w:color="auto" w:fill="FFFFFF"/>
          </w:tcPr>
          <w:p w14:paraId="6E088D0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(a)</w:t>
            </w:r>
          </w:p>
        </w:tc>
        <w:tc>
          <w:tcPr>
            <w:tcW w:w="2218" w:type="dxa"/>
            <w:shd w:val="clear" w:color="auto" w:fill="FFFFFF"/>
          </w:tcPr>
          <w:p w14:paraId="5918045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≤2% диапазона</w:t>
            </w:r>
          </w:p>
        </w:tc>
        <w:tc>
          <w:tcPr>
            <w:tcW w:w="557" w:type="dxa"/>
            <w:shd w:val="clear" w:color="auto" w:fill="FFFFFF"/>
          </w:tcPr>
          <w:p w14:paraId="096C392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(b)</w:t>
            </w:r>
          </w:p>
        </w:tc>
      </w:tr>
      <w:tr w:rsidR="008E387F" w14:paraId="22EB7F47" w14:textId="77777777" w:rsidTr="009212D4">
        <w:tc>
          <w:tcPr>
            <w:tcW w:w="163" w:type="dxa"/>
            <w:shd w:val="clear" w:color="auto" w:fill="FFFFFF"/>
          </w:tcPr>
          <w:p w14:paraId="672F3E0F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1A6CA39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Взаимная коррекция</w:t>
            </w:r>
          </w:p>
        </w:tc>
        <w:tc>
          <w:tcPr>
            <w:tcW w:w="1704" w:type="dxa"/>
            <w:shd w:val="clear" w:color="auto" w:fill="FFFFFF"/>
          </w:tcPr>
          <w:p w14:paraId="54CB842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Ежеквартально</w:t>
            </w:r>
          </w:p>
        </w:tc>
        <w:tc>
          <w:tcPr>
            <w:tcW w:w="1618" w:type="dxa"/>
            <w:shd w:val="clear" w:color="auto" w:fill="FFFFFF"/>
          </w:tcPr>
          <w:p w14:paraId="1E9AD3B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±0,02% ед.</w:t>
            </w:r>
          </w:p>
        </w:tc>
        <w:tc>
          <w:tcPr>
            <w:tcW w:w="614" w:type="dxa"/>
            <w:shd w:val="clear" w:color="auto" w:fill="FFFFFF"/>
          </w:tcPr>
          <w:p w14:paraId="34BA039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(a)</w:t>
            </w:r>
          </w:p>
        </w:tc>
        <w:tc>
          <w:tcPr>
            <w:tcW w:w="2218" w:type="dxa"/>
            <w:shd w:val="clear" w:color="auto" w:fill="FFFFFF"/>
          </w:tcPr>
          <w:p w14:paraId="5F29142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 применимо</w:t>
            </w:r>
          </w:p>
        </w:tc>
        <w:tc>
          <w:tcPr>
            <w:tcW w:w="557" w:type="dxa"/>
            <w:shd w:val="clear" w:color="auto" w:fill="FFFFFF"/>
          </w:tcPr>
          <w:p w14:paraId="45F6AA2E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488A7432" w14:textId="77777777" w:rsidTr="009212D4">
        <w:tc>
          <w:tcPr>
            <w:tcW w:w="163" w:type="dxa"/>
            <w:shd w:val="clear" w:color="auto" w:fill="FFFFFF"/>
          </w:tcPr>
          <w:p w14:paraId="3F7E9518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762A8C70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1704" w:type="dxa"/>
            <w:shd w:val="clear" w:color="auto" w:fill="FFFFFF"/>
          </w:tcPr>
          <w:p w14:paraId="595A92E8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1618" w:type="dxa"/>
            <w:shd w:val="clear" w:color="auto" w:fill="FFFFFF"/>
          </w:tcPr>
          <w:p w14:paraId="02C2AF9E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01D7F201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546BCD48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557" w:type="dxa"/>
            <w:shd w:val="clear" w:color="auto" w:fill="FFFFFF"/>
          </w:tcPr>
          <w:p w14:paraId="46AF277B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1DFEEE28" w14:textId="77777777" w:rsidTr="009212D4">
        <w:tc>
          <w:tcPr>
            <w:tcW w:w="3897" w:type="dxa"/>
            <w:gridSpan w:val="3"/>
            <w:shd w:val="clear" w:color="auto" w:fill="FFFFFF"/>
          </w:tcPr>
          <w:p w14:paraId="02988C3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Калибровка</w:t>
            </w:r>
          </w:p>
        </w:tc>
        <w:tc>
          <w:tcPr>
            <w:tcW w:w="1618" w:type="dxa"/>
            <w:shd w:val="clear" w:color="auto" w:fill="FFFFFF"/>
          </w:tcPr>
          <w:p w14:paraId="3146E81A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0842FF0C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0D3F326C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557" w:type="dxa"/>
            <w:shd w:val="clear" w:color="auto" w:fill="FFFFFF"/>
          </w:tcPr>
          <w:p w14:paraId="4C7E2284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3C6207E3" w14:textId="77777777" w:rsidTr="009212D4">
        <w:tc>
          <w:tcPr>
            <w:tcW w:w="163" w:type="dxa"/>
            <w:shd w:val="clear" w:color="auto" w:fill="FFFFFF"/>
          </w:tcPr>
          <w:p w14:paraId="580343F4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1052D62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Разность средних значений </w:t>
            </w:r>
          </w:p>
        </w:tc>
        <w:tc>
          <w:tcPr>
            <w:tcW w:w="1704" w:type="dxa"/>
            <w:shd w:val="clear" w:color="auto" w:fill="FFFFFF"/>
          </w:tcPr>
          <w:p w14:paraId="54EEB9A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Еженедельно</w:t>
            </w:r>
          </w:p>
        </w:tc>
        <w:tc>
          <w:tcPr>
            <w:tcW w:w="1618" w:type="dxa"/>
            <w:shd w:val="clear" w:color="auto" w:fill="FFFFFF"/>
          </w:tcPr>
          <w:p w14:paraId="65556F4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±0,02% ед.</w:t>
            </w:r>
          </w:p>
        </w:tc>
        <w:tc>
          <w:tcPr>
            <w:tcW w:w="614" w:type="dxa"/>
            <w:shd w:val="clear" w:color="auto" w:fill="FFFFFF"/>
          </w:tcPr>
          <w:p w14:paraId="199A92F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  <w:tc>
          <w:tcPr>
            <w:tcW w:w="2218" w:type="dxa"/>
            <w:shd w:val="clear" w:color="auto" w:fill="FFFFFF"/>
          </w:tcPr>
          <w:p w14:paraId="5A04F2F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±5% отн.</w:t>
            </w:r>
          </w:p>
        </w:tc>
        <w:tc>
          <w:tcPr>
            <w:tcW w:w="557" w:type="dxa"/>
            <w:shd w:val="clear" w:color="auto" w:fill="FFFFFF"/>
          </w:tcPr>
          <w:p w14:paraId="0AE98A0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</w:tr>
      <w:tr w:rsidR="008E387F" w14:paraId="20E74344" w14:textId="77777777" w:rsidTr="009212D4">
        <w:tc>
          <w:tcPr>
            <w:tcW w:w="163" w:type="dxa"/>
            <w:shd w:val="clear" w:color="auto" w:fill="FFFFFF"/>
          </w:tcPr>
          <w:p w14:paraId="17D57046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7240FAF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Наклон</w:t>
            </w:r>
          </w:p>
        </w:tc>
        <w:tc>
          <w:tcPr>
            <w:tcW w:w="1704" w:type="dxa"/>
            <w:shd w:val="clear" w:color="auto" w:fill="FFFFFF"/>
          </w:tcPr>
          <w:p w14:paraId="41E948F3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Ежемесячно</w:t>
            </w:r>
          </w:p>
        </w:tc>
        <w:tc>
          <w:tcPr>
            <w:tcW w:w="1618" w:type="dxa"/>
            <w:shd w:val="clear" w:color="auto" w:fill="FFFFFF"/>
          </w:tcPr>
          <w:p w14:paraId="2DA05D2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1,00±0,03</w:t>
            </w:r>
          </w:p>
        </w:tc>
        <w:tc>
          <w:tcPr>
            <w:tcW w:w="614" w:type="dxa"/>
            <w:shd w:val="clear" w:color="auto" w:fill="FFFFFF"/>
          </w:tcPr>
          <w:p w14:paraId="7C21A66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  <w:tc>
          <w:tcPr>
            <w:tcW w:w="2218" w:type="dxa"/>
            <w:shd w:val="clear" w:color="auto" w:fill="FFFFFF"/>
          </w:tcPr>
          <w:p w14:paraId="31FADC4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1,00±0,05</w:t>
            </w:r>
          </w:p>
        </w:tc>
        <w:tc>
          <w:tcPr>
            <w:tcW w:w="557" w:type="dxa"/>
            <w:shd w:val="clear" w:color="auto" w:fill="FFFFFF"/>
          </w:tcPr>
          <w:p w14:paraId="7FE21FB4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</w:tr>
      <w:tr w:rsidR="008E387F" w14:paraId="1A026DEB" w14:textId="77777777" w:rsidTr="009212D4">
        <w:tc>
          <w:tcPr>
            <w:tcW w:w="163" w:type="dxa"/>
            <w:shd w:val="clear" w:color="auto" w:fill="FFFFFF"/>
          </w:tcPr>
          <w:p w14:paraId="630C3961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6702287C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1704" w:type="dxa"/>
            <w:shd w:val="clear" w:color="auto" w:fill="FFFFFF"/>
          </w:tcPr>
          <w:p w14:paraId="58D80C9D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1618" w:type="dxa"/>
            <w:shd w:val="clear" w:color="auto" w:fill="FFFFFF"/>
          </w:tcPr>
          <w:p w14:paraId="7368CEA1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16CBF066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28D240EA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557" w:type="dxa"/>
            <w:shd w:val="clear" w:color="auto" w:fill="FFFFFF"/>
          </w:tcPr>
          <w:p w14:paraId="25110BE7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45C7AEF7" w14:textId="77777777" w:rsidTr="009212D4">
        <w:tc>
          <w:tcPr>
            <w:tcW w:w="3897" w:type="dxa"/>
            <w:gridSpan w:val="3"/>
            <w:shd w:val="clear" w:color="auto" w:fill="FFFFFF"/>
          </w:tcPr>
          <w:p w14:paraId="6A3F916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Общая суточная стабильность</w:t>
            </w:r>
          </w:p>
        </w:tc>
        <w:tc>
          <w:tcPr>
            <w:tcW w:w="1618" w:type="dxa"/>
            <w:shd w:val="clear" w:color="auto" w:fill="FFFFFF"/>
          </w:tcPr>
          <w:p w14:paraId="23BA3619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39BA2577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353C0B8A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557" w:type="dxa"/>
            <w:shd w:val="clear" w:color="auto" w:fill="FFFFFF"/>
          </w:tcPr>
          <w:p w14:paraId="5B9387A5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14:paraId="15051852" w14:textId="77777777" w:rsidTr="009212D4">
        <w:tc>
          <w:tcPr>
            <w:tcW w:w="163" w:type="dxa"/>
            <w:shd w:val="clear" w:color="auto" w:fill="FFFFFF"/>
          </w:tcPr>
          <w:p w14:paraId="18901465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6A6B384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Повторяемость (стандартное отклонение повторяемости)</w:t>
            </w:r>
          </w:p>
        </w:tc>
        <w:tc>
          <w:tcPr>
            <w:tcW w:w="1704" w:type="dxa"/>
            <w:shd w:val="clear" w:color="auto" w:fill="FFFFFF"/>
          </w:tcPr>
          <w:p w14:paraId="2E5B414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Суточная/ежедневная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14:paraId="7DE51FA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0,014% ед.</w:t>
            </w:r>
          </w:p>
        </w:tc>
        <w:tc>
          <w:tcPr>
            <w:tcW w:w="614" w:type="dxa"/>
            <w:shd w:val="clear" w:color="auto" w:fill="FFFFFF"/>
          </w:tcPr>
          <w:p w14:paraId="59FD47F3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(a)</w:t>
            </w:r>
          </w:p>
        </w:tc>
        <w:tc>
          <w:tcPr>
            <w:tcW w:w="2218" w:type="dxa"/>
            <w:shd w:val="clear" w:color="auto" w:fill="FFFFFF"/>
          </w:tcPr>
          <w:p w14:paraId="64BE2B4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6% отн.</w:t>
            </w:r>
          </w:p>
        </w:tc>
        <w:tc>
          <w:tcPr>
            <w:tcW w:w="557" w:type="dxa"/>
            <w:shd w:val="clear" w:color="auto" w:fill="FFFFFF"/>
          </w:tcPr>
          <w:p w14:paraId="6E8F92F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(b)</w:t>
            </w:r>
          </w:p>
        </w:tc>
      </w:tr>
      <w:tr w:rsidR="008E387F" w14:paraId="4F81C943" w14:textId="77777777" w:rsidTr="009212D4">
        <w:tc>
          <w:tcPr>
            <w:tcW w:w="163" w:type="dxa"/>
            <w:shd w:val="clear" w:color="auto" w:fill="FFFFFF"/>
          </w:tcPr>
          <w:p w14:paraId="7F82C37F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5692EACD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1704" w:type="dxa"/>
            <w:shd w:val="clear" w:color="auto" w:fill="FFFFFF"/>
          </w:tcPr>
          <w:p w14:paraId="5D46AA7D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1618" w:type="dxa"/>
            <w:vMerge/>
            <w:shd w:val="clear" w:color="auto" w:fill="FFFFFF"/>
          </w:tcPr>
          <w:p w14:paraId="7B076C73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66D87F52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1A995D42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557" w:type="dxa"/>
            <w:shd w:val="clear" w:color="auto" w:fill="FFFFFF"/>
          </w:tcPr>
          <w:p w14:paraId="089B791B" w14:textId="77777777" w:rsidR="001F0C50" w:rsidRPr="00CA6CD8" w:rsidRDefault="001F0C50" w:rsidP="00CA6CD8">
            <w:pPr>
              <w:ind w:left="57" w:right="57"/>
              <w:jc w:val="center"/>
            </w:pPr>
          </w:p>
        </w:tc>
      </w:tr>
      <w:tr w:rsidR="008E387F" w:rsidRPr="0020290C" w14:paraId="1CDD0AEC" w14:textId="77777777" w:rsidTr="009212D4">
        <w:tc>
          <w:tcPr>
            <w:tcW w:w="163" w:type="dxa"/>
            <w:shd w:val="clear" w:color="auto" w:fill="FFFFFF"/>
          </w:tcPr>
          <w:p w14:paraId="411301FB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113FD094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1704" w:type="dxa"/>
            <w:shd w:val="clear" w:color="auto" w:fill="FFFFFF"/>
          </w:tcPr>
          <w:p w14:paraId="583181C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запуск</w:t>
            </w:r>
          </w:p>
        </w:tc>
        <w:tc>
          <w:tcPr>
            <w:tcW w:w="1618" w:type="dxa"/>
            <w:vMerge/>
            <w:shd w:val="clear" w:color="auto" w:fill="FFFFFF"/>
          </w:tcPr>
          <w:p w14:paraId="7E4D6C9C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614" w:type="dxa"/>
            <w:shd w:val="clear" w:color="auto" w:fill="FFFFFF"/>
          </w:tcPr>
          <w:p w14:paraId="7B4CA663" w14:textId="77777777" w:rsidR="001F0C50" w:rsidRPr="00CA6CD8" w:rsidRDefault="001F0C50" w:rsidP="00CA6CD8">
            <w:pPr>
              <w:ind w:left="57" w:right="57"/>
              <w:jc w:val="center"/>
            </w:pPr>
          </w:p>
        </w:tc>
        <w:tc>
          <w:tcPr>
            <w:tcW w:w="2218" w:type="dxa"/>
            <w:shd w:val="clear" w:color="auto" w:fill="FFFFFF"/>
          </w:tcPr>
          <w:p w14:paraId="46981EC6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150 000 клеток/мл — 5% отн.</w:t>
            </w:r>
          </w:p>
          <w:p w14:paraId="54E160AE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300 000 клеток/мл — 4% отн.</w:t>
            </w:r>
          </w:p>
          <w:p w14:paraId="6546C960" w14:textId="77777777" w:rsidR="00CA6CD8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450 000 клеток/мл — 3% отн.</w:t>
            </w:r>
          </w:p>
          <w:p w14:paraId="67A863BB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≥750 000 клеток/мл</w:t>
            </w:r>
          </w:p>
        </w:tc>
        <w:tc>
          <w:tcPr>
            <w:tcW w:w="557" w:type="dxa"/>
            <w:shd w:val="clear" w:color="auto" w:fill="FFFFFF"/>
          </w:tcPr>
          <w:p w14:paraId="4206E070" w14:textId="77777777" w:rsidR="001F0C50" w:rsidRPr="0020290C" w:rsidRDefault="001F0C50" w:rsidP="00CA6CD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E387F" w14:paraId="750B1CE2" w14:textId="77777777" w:rsidTr="009212D4">
        <w:tc>
          <w:tcPr>
            <w:tcW w:w="163" w:type="dxa"/>
            <w:shd w:val="clear" w:color="auto" w:fill="FFFFFF"/>
          </w:tcPr>
          <w:p w14:paraId="66F8B83A" w14:textId="77777777" w:rsidR="001F0C50" w:rsidRPr="0020290C" w:rsidRDefault="001F0C50" w:rsidP="00CA6CD8">
            <w:pPr>
              <w:ind w:left="57" w:right="57"/>
              <w:rPr>
                <w:lang w:val="ru-RU"/>
              </w:rPr>
            </w:pPr>
          </w:p>
        </w:tc>
        <w:tc>
          <w:tcPr>
            <w:tcW w:w="2030" w:type="dxa"/>
            <w:shd w:val="clear" w:color="auto" w:fill="FFFFFF"/>
          </w:tcPr>
          <w:p w14:paraId="6EC0879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Суточная/краткосрочная стабильность</w:t>
            </w:r>
          </w:p>
        </w:tc>
        <w:tc>
          <w:tcPr>
            <w:tcW w:w="1704" w:type="dxa"/>
            <w:shd w:val="clear" w:color="auto" w:fill="FFFFFF"/>
          </w:tcPr>
          <w:p w14:paraId="6B1FD6F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≥3/час</w:t>
            </w:r>
          </w:p>
        </w:tc>
        <w:tc>
          <w:tcPr>
            <w:tcW w:w="1618" w:type="dxa"/>
            <w:shd w:val="clear" w:color="auto" w:fill="FFFFFF"/>
          </w:tcPr>
          <w:p w14:paraId="3F85E93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±0,05% ед.</w:t>
            </w:r>
          </w:p>
        </w:tc>
        <w:tc>
          <w:tcPr>
            <w:tcW w:w="614" w:type="dxa"/>
            <w:shd w:val="clear" w:color="auto" w:fill="FFFFFF"/>
          </w:tcPr>
          <w:p w14:paraId="0F51B59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  <w:tc>
          <w:tcPr>
            <w:tcW w:w="2218" w:type="dxa"/>
            <w:shd w:val="clear" w:color="auto" w:fill="FFFFFF"/>
          </w:tcPr>
          <w:p w14:paraId="4CAFE89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±10% отн.</w:t>
            </w:r>
          </w:p>
        </w:tc>
        <w:tc>
          <w:tcPr>
            <w:tcW w:w="557" w:type="dxa"/>
            <w:shd w:val="clear" w:color="auto" w:fill="FFFFFF"/>
          </w:tcPr>
          <w:p w14:paraId="137B1CC3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</w:tr>
      <w:tr w:rsidR="008E387F" w14:paraId="5CB86BB5" w14:textId="77777777" w:rsidTr="009212D4">
        <w:tc>
          <w:tcPr>
            <w:tcW w:w="163" w:type="dxa"/>
            <w:shd w:val="clear" w:color="auto" w:fill="FFFFFF"/>
          </w:tcPr>
          <w:p w14:paraId="46600535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2030" w:type="dxa"/>
            <w:shd w:val="clear" w:color="auto" w:fill="FFFFFF"/>
          </w:tcPr>
          <w:p w14:paraId="6CB4ACE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Установка прибора на нуль</w:t>
            </w:r>
          </w:p>
        </w:tc>
        <w:tc>
          <w:tcPr>
            <w:tcW w:w="1704" w:type="dxa"/>
            <w:shd w:val="clear" w:color="auto" w:fill="FFFFFF"/>
          </w:tcPr>
          <w:p w14:paraId="6A58F96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≥ 4/день</w:t>
            </w:r>
          </w:p>
        </w:tc>
        <w:tc>
          <w:tcPr>
            <w:tcW w:w="1618" w:type="dxa"/>
            <w:shd w:val="clear" w:color="auto" w:fill="FFFFFF"/>
          </w:tcPr>
          <w:p w14:paraId="72657B6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±0,03% ед.</w:t>
            </w:r>
          </w:p>
        </w:tc>
        <w:tc>
          <w:tcPr>
            <w:tcW w:w="614" w:type="dxa"/>
            <w:shd w:val="clear" w:color="auto" w:fill="FFFFFF"/>
          </w:tcPr>
          <w:p w14:paraId="3A3AF53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(c)</w:t>
            </w:r>
          </w:p>
        </w:tc>
        <w:tc>
          <w:tcPr>
            <w:tcW w:w="2218" w:type="dxa"/>
            <w:shd w:val="clear" w:color="auto" w:fill="FFFFFF"/>
          </w:tcPr>
          <w:p w14:paraId="02DEACE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≤ 8 000 клеток/мл</w:t>
            </w:r>
          </w:p>
        </w:tc>
        <w:tc>
          <w:tcPr>
            <w:tcW w:w="557" w:type="dxa"/>
            <w:shd w:val="clear" w:color="auto" w:fill="FFFFFF"/>
          </w:tcPr>
          <w:p w14:paraId="339B026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(b)</w:t>
            </w:r>
          </w:p>
        </w:tc>
      </w:tr>
    </w:tbl>
    <w:p w14:paraId="2A08EF5F" w14:textId="77777777" w:rsidR="001F0C50" w:rsidRPr="0020290C" w:rsidRDefault="00AD1755" w:rsidP="00CA6CD8">
      <w:pPr>
        <w:pStyle w:val="a9"/>
        <w:shd w:val="clear" w:color="auto" w:fill="auto"/>
        <w:spacing w:before="12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CA6CD8">
        <w:rPr>
          <w:rFonts w:ascii="Times New Roman" w:hAnsi="Times New Roman" w:cs="Times New Roman"/>
          <w:szCs w:val="24"/>
          <w:lang w:val="ru"/>
        </w:rPr>
        <w:t>(a)</w:t>
      </w:r>
      <w:r w:rsidRPr="00CA6CD8">
        <w:rPr>
          <w:rFonts w:ascii="Times New Roman" w:hAnsi="Times New Roman" w:cs="Times New Roman"/>
          <w:szCs w:val="24"/>
          <w:lang w:val="ru"/>
        </w:rPr>
        <w:tab/>
        <w:t>: Ограничение, вытекающее из ISO 9622 | IDF 141</w:t>
      </w:r>
    </w:p>
    <w:p w14:paraId="33D3E994" w14:textId="77777777" w:rsidR="001F0C50" w:rsidRPr="0020290C" w:rsidRDefault="00AD1755" w:rsidP="00CA6CD8">
      <w:pPr>
        <w:pStyle w:val="a9"/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CA6CD8">
        <w:rPr>
          <w:rFonts w:ascii="Times New Roman" w:hAnsi="Times New Roman" w:cs="Times New Roman"/>
          <w:szCs w:val="24"/>
          <w:lang w:val="ru"/>
        </w:rPr>
        <w:t>(b)</w:t>
      </w:r>
      <w:r w:rsidRPr="00CA6CD8">
        <w:rPr>
          <w:rFonts w:ascii="Times New Roman" w:hAnsi="Times New Roman" w:cs="Times New Roman"/>
          <w:szCs w:val="24"/>
          <w:lang w:val="ru"/>
        </w:rPr>
        <w:tab/>
        <w:t xml:space="preserve">: Ограничение, вытекающее из ISO 13366-2 | IDF </w:t>
      </w:r>
      <w:r w:rsidRPr="00CA6CD8">
        <w:rPr>
          <w:rFonts w:ascii="Times New Roman" w:hAnsi="Times New Roman" w:cs="Times New Roman"/>
          <w:szCs w:val="24"/>
          <w:lang w:val="ru"/>
        </w:rPr>
        <w:t>148-2</w:t>
      </w:r>
    </w:p>
    <w:p w14:paraId="63B492FA" w14:textId="77777777" w:rsidR="001F0C50" w:rsidRPr="0020290C" w:rsidRDefault="00AD1755" w:rsidP="00CA6CD8">
      <w:pPr>
        <w:pStyle w:val="a9"/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CA6CD8">
        <w:rPr>
          <w:rFonts w:ascii="Times New Roman" w:hAnsi="Times New Roman" w:cs="Times New Roman"/>
          <w:szCs w:val="24"/>
          <w:lang w:val="ru"/>
        </w:rPr>
        <w:t>(c)</w:t>
      </w:r>
      <w:r w:rsidRPr="00CA6CD8">
        <w:rPr>
          <w:rFonts w:ascii="Times New Roman" w:hAnsi="Times New Roman" w:cs="Times New Roman"/>
          <w:szCs w:val="24"/>
          <w:lang w:val="ru"/>
        </w:rPr>
        <w:tab/>
        <w:t>: Ориентировочный предел, поскольку в соответствующих международных стандартах значение не указано.</w:t>
      </w:r>
    </w:p>
    <w:p w14:paraId="21777436" w14:textId="77777777" w:rsidR="001F0C50" w:rsidRPr="0020290C" w:rsidRDefault="001F0C50" w:rsidP="00B05E6A">
      <w:pPr>
        <w:spacing w:after="120"/>
        <w:jc w:val="both"/>
        <w:rPr>
          <w:lang w:val="ru-RU"/>
        </w:rPr>
      </w:pPr>
    </w:p>
    <w:p w14:paraId="7EB20AF6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Примечание 1:</w:t>
      </w:r>
    </w:p>
    <w:p w14:paraId="0F5B8D49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случае, если расчетные значения выходят за пределы допустимого, но не отличаются с точки зрения статистики, корректировка инструм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ентальных настроек не оправдана. Поэтому следует использовать репрезентативные и/или адекватные серии проб таким образом, чтобы любое внешнее значение существенно отличалось. Важными аспектами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при этом являются тип и количество образцов, количество паралле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льных анализов и уровень концентрации.</w:t>
      </w:r>
    </w:p>
    <w:p w14:paraId="4647DE32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Примечание 2:</w:t>
      </w:r>
    </w:p>
    <w:p w14:paraId="4E23F23D" w14:textId="77777777" w:rsidR="00817293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Молоко с высоким содержанием жира и белка (молоко буйволов, овец, коров и коз определенных видов). Из-за переменного высокого содержания жира и белка надежные пределы повторяемости и краткосрочной ста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бильности могут быть определены путем умножения пределов для коров на отношение среднего уровня буйволов (или овец) к среднему уровню коров.</w:t>
      </w:r>
    </w:p>
    <w:p w14:paraId="5410F257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Козье молоко: пределы могут быть такими же, как и для коровьего молока, при одинаковом содержании жира и белка.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 случае высокого содержания жира и белка действуют согласно а).</w:t>
      </w:r>
    </w:p>
    <w:p w14:paraId="292DC7D4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Примечание 3.</w:t>
      </w:r>
    </w:p>
    <w:p w14:paraId="5C57C9C9" w14:textId="77777777" w:rsidR="001F0C50" w:rsidRPr="0020290C" w:rsidRDefault="00AD175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Критерии рассчитываются в соответствии с протоколом ICAR по оценке анализатора молока и ISO 8196-3 IDF 128-3, доступным здесь.</w:t>
      </w:r>
    </w:p>
    <w:p w14:paraId="2EE4FF95" w14:textId="77777777" w:rsidR="001F0C50" w:rsidRPr="0020290C" w:rsidRDefault="00AD1755" w:rsidP="00CA6CD8">
      <w:pPr>
        <w:pStyle w:val="120"/>
        <w:rPr>
          <w:lang w:val="ru-RU"/>
        </w:rPr>
      </w:pPr>
      <w:bookmarkStart w:id="70" w:name="bookmark1029"/>
      <w:bookmarkStart w:id="71" w:name="bookmark1028"/>
      <w:bookmarkStart w:id="72" w:name="_Toc93224205"/>
      <w:r w:rsidRPr="00847C67">
        <w:rPr>
          <w:lang w:val="ru"/>
        </w:rPr>
        <w:t>7.3</w:t>
      </w:r>
      <w:r w:rsidRPr="00847C67">
        <w:rPr>
          <w:lang w:val="ru"/>
        </w:rPr>
        <w:tab/>
        <w:t>Проверка</w:t>
      </w:r>
      <w:bookmarkEnd w:id="70"/>
      <w:bookmarkEnd w:id="71"/>
      <w:bookmarkEnd w:id="72"/>
    </w:p>
    <w:p w14:paraId="222DCF9F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Проверка гомогенизации (применимо 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только к ИК-инструментам):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при инфракрасном анализе естественный размер жировых шариков сильно влияет на измерение жира, поэтому перед измерением осуществляется уменьшение размера жира посредством гомогенизации. Неэффективная гомогенизация приводит к неудо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влетворительной повторяемости и дрейфу сигнала.</w:t>
      </w:r>
    </w:p>
    <w:p w14:paraId="5282CE18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Проверка переноса: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В случае последовательных проб, существенно отличающихся по содержанию компонентов, на результат конкретной пробы молока может повлиять предыдущая проба, например остаточный объем молока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в проточной системе или загрязнение миксера и дозатора. Ошибка представляет собой долю разницы концентрации с предыдущей пробой. Общий остаточный эффект должен быть сведен к минимуму, не должен превышать установленных пределов и может быть скорректирован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 ходе обычной эксплуатации путем применения коэффициентов компенсации переноса.</w:t>
      </w:r>
    </w:p>
    <w:p w14:paraId="7F29458F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Проверка линейности: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подготавливаются специальные наборы проб, чтобы охватить весь диапазон концентраций и убедиться, что инструментальное измерение пропорционально концент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рации измеряемого компонента. Процент изгиба можно оценить по соотношению (диапазон наблюдаемых остаточных содержаний) x 100/(диапазон уровней).</w:t>
      </w:r>
    </w:p>
    <w:p w14:paraId="6D5E6CCB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Проверка взаимных поправок (с моделями калибровки на основе МЛР):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подготавливаются определенные наборы проб, чтобы создать независимую модификацию соответствующих компонентов и убедиться, что изменения одного конкретного компонента существенно не влияют на измерение других компонентов. Взаимные поправки устанавливаются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для того, чтобы компенсировать естественные взаимодействия из-за неполной специфичности методов. Чем шире диапазон концентраций корректирующего канала, тем больше возможная ошибка из-за неадекватной взаимокорректировки корректируемого канала.</w:t>
      </w:r>
    </w:p>
    <w:p w14:paraId="5A808CAC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Проверка с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редней систематической погрешности: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репрезентативные пробы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молока используются для проверки правильности калибровки на среднем уровне и для определения возможного смещения из-за изменений состава молока или прогрессирующего износа инструментов.</w:t>
      </w:r>
    </w:p>
    <w:p w14:paraId="10A1961A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Проверка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наклона: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подготавливаются специальные наборы (калибровочных) проб, чтобы охватить весь диапазон уровней и проверить соответствие наклона установленным пределам. Чем больше диапазон концентраций, тем больше ошибка для экстремальных значений в случае неадек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ватной корректировке наклона.</w:t>
      </w:r>
    </w:p>
    <w:p w14:paraId="22082157" w14:textId="77777777" w:rsidR="001F0C50" w:rsidRPr="0020290C" w:rsidRDefault="00AD1755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g.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Повторяемость: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Проверка повторяемости показывает, стабильно ли работает прибор. Повторяемость оценивают при запуске каждого прибора на основе 10-кратной повторности анализа одной (контрольной) пробы молока. Во время типовог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 испытания можно провести обычный тест путем повторного анализа контрольного образца. Оценка стандартного отклонения повторяемости должна соответствовать установленным пределам.</w:t>
      </w:r>
    </w:p>
    <w:p w14:paraId="2CF3BB6E" w14:textId="77777777" w:rsidR="001F0C50" w:rsidRPr="0020290C" w:rsidRDefault="00AD1755" w:rsidP="00CA6CD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h.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Суточная и краткосрочная стабильность: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ежедневно и регулярно в течение раб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очего дня используются так называемые контрольные (или опорные) пробы для проверки работы приборов при одном или нескольких уровнях концентрации. Наблюдаемые отличия от заданных значений не должны превышать установленных пределов +/-L. Рекомендуется выполн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ить контроль, используя расчет кумулятивного среднего n последовательных различий, которые не должны превышать пределы +/-L/Vn, см. ISO 8196|IDF 128.</w:t>
      </w:r>
    </w:p>
    <w:p w14:paraId="1D6A46FA" w14:textId="77777777" w:rsidR="00B05E6A" w:rsidRPr="0020290C" w:rsidRDefault="00AD1755" w:rsidP="00CA6CD8">
      <w:pPr>
        <w:pStyle w:val="13"/>
        <w:shd w:val="clear" w:color="auto" w:fill="auto"/>
        <w:spacing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Установка прибора на нуль: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Периодически требуется промывка проточной системы и проверка «нулевого значения» для контроля загрязнения стенок измерительных ячеек и/или (в зависимости от приборов) для обнаружения дрейфа основного сигнала.</w:t>
      </w:r>
    </w:p>
    <w:p w14:paraId="11319A66" w14:textId="77777777" w:rsidR="00817293" w:rsidRPr="0020290C" w:rsidRDefault="00AD1755" w:rsidP="00CA6CD8">
      <w:pPr>
        <w:jc w:val="both"/>
        <w:rPr>
          <w:lang w:val="ru-RU"/>
        </w:rPr>
      </w:pPr>
      <w:bookmarkStart w:id="73" w:name="bookmark1031"/>
      <w:bookmarkStart w:id="74" w:name="bookmark1032"/>
      <w:bookmarkStart w:id="75" w:name="bookmark1030"/>
      <w:r w:rsidRPr="0020290C">
        <w:rPr>
          <w:lang w:val="ru-RU"/>
        </w:rPr>
        <w:br w:type="page"/>
      </w:r>
    </w:p>
    <w:p w14:paraId="36FCE9A9" w14:textId="77777777" w:rsidR="001F0C50" w:rsidRPr="0020290C" w:rsidRDefault="00AD1755" w:rsidP="00CA6CD8">
      <w:pPr>
        <w:pStyle w:val="110"/>
        <w:rPr>
          <w:lang w:val="ru-RU"/>
        </w:rPr>
      </w:pPr>
      <w:bookmarkStart w:id="76" w:name="_Toc93224206"/>
      <w:r w:rsidRPr="00847C67">
        <w:rPr>
          <w:lang w:val="ru"/>
        </w:rPr>
        <w:lastRenderedPageBreak/>
        <w:t>8</w:t>
      </w:r>
      <w:r w:rsidRPr="00847C67">
        <w:rPr>
          <w:lang w:val="ru"/>
        </w:rPr>
        <w:tab/>
        <w:t>Приложение 2. Методы</w:t>
      </w:r>
      <w:bookmarkEnd w:id="73"/>
      <w:bookmarkEnd w:id="74"/>
      <w:bookmarkEnd w:id="75"/>
      <w:bookmarkEnd w:id="76"/>
    </w:p>
    <w:p w14:paraId="1F9CD17D" w14:textId="77777777" w:rsidR="001F0C50" w:rsidRPr="0020290C" w:rsidRDefault="00AD1755" w:rsidP="00CA6CD8">
      <w:pPr>
        <w:pStyle w:val="120"/>
        <w:rPr>
          <w:lang w:val="ru-RU"/>
        </w:rPr>
      </w:pPr>
      <w:bookmarkStart w:id="77" w:name="bookmark1034"/>
      <w:bookmarkStart w:id="78" w:name="bookmark1033"/>
      <w:bookmarkStart w:id="79" w:name="_Toc93224207"/>
      <w:r w:rsidRPr="00847C67">
        <w:rPr>
          <w:lang w:val="ru"/>
        </w:rPr>
        <w:t>8.1</w:t>
      </w:r>
      <w:r w:rsidRPr="00847C67">
        <w:rPr>
          <w:lang w:val="ru"/>
        </w:rPr>
        <w:tab/>
        <w:t>Международные эта</w:t>
      </w:r>
      <w:r w:rsidRPr="00847C67">
        <w:rPr>
          <w:lang w:val="ru"/>
        </w:rPr>
        <w:t>лонные методы</w:t>
      </w:r>
      <w:bookmarkEnd w:id="77"/>
      <w:bookmarkEnd w:id="78"/>
      <w:bookmarkEnd w:id="79"/>
    </w:p>
    <w:p w14:paraId="5E1D5AC3" w14:textId="77777777" w:rsidR="001F0C50" w:rsidRPr="00847C67" w:rsidRDefault="00AD1755" w:rsidP="00CA6CD8">
      <w:pPr>
        <w:pStyle w:val="1tab"/>
      </w:pPr>
      <w:bookmarkStart w:id="80" w:name="bookmark1035"/>
      <w:bookmarkStart w:id="81" w:name="_Toc93224230"/>
      <w:r w:rsidRPr="00847C67">
        <w:rPr>
          <w:lang w:val="ru"/>
        </w:rPr>
        <w:t>Таблица 3. Международные эталонные методы.</w:t>
      </w:r>
      <w:bookmarkEnd w:id="80"/>
      <w:bookmarkEnd w:id="8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4411"/>
      </w:tblGrid>
      <w:tr w:rsidR="008E387F" w14:paraId="4B29ABFE" w14:textId="77777777" w:rsidTr="009212D4"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14:paraId="272FC714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Жиры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EF514BE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105798FE" w14:textId="77777777" w:rsidTr="009212D4">
        <w:tc>
          <w:tcPr>
            <w:tcW w:w="4502" w:type="dxa"/>
            <w:shd w:val="clear" w:color="auto" w:fill="FFFFFF"/>
          </w:tcPr>
          <w:p w14:paraId="18B8099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Гравиметрия (метод Розе–Готтлиба)</w:t>
            </w:r>
          </w:p>
        </w:tc>
        <w:tc>
          <w:tcPr>
            <w:tcW w:w="4411" w:type="dxa"/>
            <w:shd w:val="clear" w:color="auto" w:fill="FFFFFF"/>
          </w:tcPr>
          <w:p w14:paraId="6753AE6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1211 | IDF 1</w:t>
            </w:r>
          </w:p>
        </w:tc>
      </w:tr>
      <w:tr w:rsidR="008E387F" w14:paraId="2789424B" w14:textId="77777777" w:rsidTr="009212D4">
        <w:tc>
          <w:tcPr>
            <w:tcW w:w="4502" w:type="dxa"/>
            <w:shd w:val="clear" w:color="auto" w:fill="FFFFFF"/>
          </w:tcPr>
          <w:p w14:paraId="0B94F263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Гравиметрия (модифицированный метод Можонье)</w:t>
            </w:r>
          </w:p>
        </w:tc>
        <w:tc>
          <w:tcPr>
            <w:tcW w:w="4411" w:type="dxa"/>
            <w:shd w:val="clear" w:color="auto" w:fill="FFFFFF"/>
          </w:tcPr>
          <w:p w14:paraId="6C23769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989.05</w:t>
            </w:r>
          </w:p>
        </w:tc>
      </w:tr>
      <w:tr w:rsidR="008E387F" w14:paraId="01BB5A74" w14:textId="77777777" w:rsidTr="009212D4"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14:paraId="57C0FD0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Сырой (или общий) белок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21B6ED53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4B8AFA70" w14:textId="77777777" w:rsidTr="009212D4">
        <w:tc>
          <w:tcPr>
            <w:tcW w:w="4502" w:type="dxa"/>
            <w:shd w:val="clear" w:color="auto" w:fill="FFFFFF"/>
          </w:tcPr>
          <w:p w14:paraId="0B89CAB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Титриметрия (метод Кьельдаля)</w:t>
            </w:r>
          </w:p>
        </w:tc>
        <w:tc>
          <w:tcPr>
            <w:tcW w:w="4411" w:type="dxa"/>
            <w:shd w:val="clear" w:color="auto" w:fill="FFFFFF"/>
          </w:tcPr>
          <w:p w14:paraId="4031A4C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ISO 8968 | IDF 20, </w:t>
            </w: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части 1 и 3</w:t>
            </w:r>
          </w:p>
        </w:tc>
      </w:tr>
      <w:tr w:rsidR="008E387F" w14:paraId="1906BDF6" w14:textId="77777777" w:rsidTr="009212D4">
        <w:tc>
          <w:tcPr>
            <w:tcW w:w="4502" w:type="dxa"/>
            <w:shd w:val="clear" w:color="auto" w:fill="FFFFFF"/>
          </w:tcPr>
          <w:p w14:paraId="2DB68649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4E4A721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991:20</w:t>
            </w:r>
          </w:p>
        </w:tc>
      </w:tr>
      <w:tr w:rsidR="008E387F" w14:paraId="2E46EAD0" w14:textId="77777777" w:rsidTr="009212D4">
        <w:tc>
          <w:tcPr>
            <w:tcW w:w="4502" w:type="dxa"/>
            <w:shd w:val="clear" w:color="auto" w:fill="FFFFFF"/>
          </w:tcPr>
          <w:p w14:paraId="32B23A4B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7A73245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991:21</w:t>
            </w:r>
          </w:p>
        </w:tc>
      </w:tr>
      <w:tr w:rsidR="008E387F" w14:paraId="78521D73" w14:textId="77777777" w:rsidTr="009212D4">
        <w:tc>
          <w:tcPr>
            <w:tcW w:w="4502" w:type="dxa"/>
            <w:shd w:val="clear" w:color="auto" w:fill="FFFFFF"/>
          </w:tcPr>
          <w:p w14:paraId="71AAFE1C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47E35C2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991:22</w:t>
            </w:r>
          </w:p>
        </w:tc>
      </w:tr>
      <w:tr w:rsidR="008E387F" w14:paraId="56396B1C" w14:textId="77777777" w:rsidTr="009212D4">
        <w:tc>
          <w:tcPr>
            <w:tcW w:w="4502" w:type="dxa"/>
            <w:shd w:val="clear" w:color="auto" w:fill="FFFFFF"/>
          </w:tcPr>
          <w:p w14:paraId="0140BF37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2BF44CF7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991:23</w:t>
            </w:r>
          </w:p>
        </w:tc>
      </w:tr>
      <w:tr w:rsidR="008E387F" w14:paraId="1A4E2279" w14:textId="77777777" w:rsidTr="009212D4"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14:paraId="73CEEC2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Казеин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44731CB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6D0D3384" w14:textId="77777777" w:rsidTr="009212D4">
        <w:tc>
          <w:tcPr>
            <w:tcW w:w="4502" w:type="dxa"/>
            <w:shd w:val="clear" w:color="auto" w:fill="FFFFFF"/>
          </w:tcPr>
          <w:p w14:paraId="428D3ABF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Титриметрия (метод Кьельдаля)</w:t>
            </w:r>
          </w:p>
        </w:tc>
        <w:tc>
          <w:tcPr>
            <w:tcW w:w="4411" w:type="dxa"/>
            <w:shd w:val="clear" w:color="auto" w:fill="FFFFFF"/>
          </w:tcPr>
          <w:p w14:paraId="3F139378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17997 | IDF 29, части 1 и 2</w:t>
            </w:r>
          </w:p>
        </w:tc>
      </w:tr>
      <w:tr w:rsidR="008E387F" w14:paraId="49ACB982" w14:textId="77777777" w:rsidTr="009212D4">
        <w:tc>
          <w:tcPr>
            <w:tcW w:w="4502" w:type="dxa"/>
            <w:shd w:val="clear" w:color="auto" w:fill="FFFFFF"/>
          </w:tcPr>
          <w:p w14:paraId="2E7E2F63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39ECBA1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998.05</w:t>
            </w:r>
          </w:p>
        </w:tc>
      </w:tr>
      <w:tr w:rsidR="008E387F" w14:paraId="3CDEA414" w14:textId="77777777" w:rsidTr="009212D4">
        <w:tc>
          <w:tcPr>
            <w:tcW w:w="4502" w:type="dxa"/>
            <w:shd w:val="clear" w:color="auto" w:fill="FFFFFF"/>
          </w:tcPr>
          <w:p w14:paraId="02559B4E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2933A21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998.06</w:t>
            </w:r>
          </w:p>
        </w:tc>
      </w:tr>
      <w:tr w:rsidR="008E387F" w14:paraId="4AD05BA8" w14:textId="77777777" w:rsidTr="009212D4">
        <w:tc>
          <w:tcPr>
            <w:tcW w:w="4502" w:type="dxa"/>
            <w:shd w:val="clear" w:color="auto" w:fill="FFFFFF"/>
          </w:tcPr>
          <w:p w14:paraId="44495B92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11" w:type="dxa"/>
            <w:shd w:val="clear" w:color="auto" w:fill="FFFFFF"/>
          </w:tcPr>
          <w:p w14:paraId="4D4AD4B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АОАС 998.07</w:t>
            </w:r>
          </w:p>
        </w:tc>
      </w:tr>
      <w:tr w:rsidR="008E387F" w14:paraId="5756A2E4" w14:textId="77777777" w:rsidTr="009212D4">
        <w:tc>
          <w:tcPr>
            <w:tcW w:w="4502" w:type="dxa"/>
            <w:shd w:val="clear" w:color="auto" w:fill="FFFFFF"/>
          </w:tcPr>
          <w:p w14:paraId="365925A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Лактоза</w:t>
            </w:r>
          </w:p>
        </w:tc>
        <w:tc>
          <w:tcPr>
            <w:tcW w:w="4411" w:type="dxa"/>
            <w:shd w:val="clear" w:color="auto" w:fill="FFFFFF"/>
          </w:tcPr>
          <w:p w14:paraId="15076266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42C01DB7" w14:textId="77777777" w:rsidTr="009212D4">
        <w:tc>
          <w:tcPr>
            <w:tcW w:w="4502" w:type="dxa"/>
            <w:shd w:val="clear" w:color="auto" w:fill="FFFFFF"/>
          </w:tcPr>
          <w:p w14:paraId="31B3FBBE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ВЭЖХ</w:t>
            </w:r>
          </w:p>
        </w:tc>
        <w:tc>
          <w:tcPr>
            <w:tcW w:w="4411" w:type="dxa"/>
            <w:shd w:val="clear" w:color="auto" w:fill="FFFFFF"/>
          </w:tcPr>
          <w:p w14:paraId="60CD659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22662 | IDF 198</w:t>
            </w:r>
          </w:p>
        </w:tc>
      </w:tr>
      <w:tr w:rsidR="008E387F" w14:paraId="769E1502" w14:textId="77777777" w:rsidTr="009212D4"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14:paraId="5F40BB9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Мочевина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16A5079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7F4C3F64" w14:textId="77777777" w:rsidTr="009212D4">
        <w:tc>
          <w:tcPr>
            <w:tcW w:w="4502" w:type="dxa"/>
            <w:shd w:val="clear" w:color="auto" w:fill="FFFFFF"/>
          </w:tcPr>
          <w:p w14:paraId="2998F2E0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Метод </w:t>
            </w: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дифференциальной pH-метрии</w:t>
            </w:r>
          </w:p>
        </w:tc>
        <w:tc>
          <w:tcPr>
            <w:tcW w:w="4411" w:type="dxa"/>
            <w:shd w:val="clear" w:color="auto" w:fill="FFFFFF"/>
          </w:tcPr>
          <w:p w14:paraId="6BAA4CA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14637 | IDF 195</w:t>
            </w:r>
          </w:p>
        </w:tc>
      </w:tr>
      <w:tr w:rsidR="008E387F" w14:paraId="056FF969" w14:textId="77777777" w:rsidTr="009212D4"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14:paraId="2B28E88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Число соматических клеток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B6D26A2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435AFA0E" w14:textId="77777777" w:rsidTr="009212D4">
        <w:tc>
          <w:tcPr>
            <w:tcW w:w="4502" w:type="dxa"/>
            <w:tcBorders>
              <w:bottom w:val="single" w:sz="4" w:space="0" w:color="auto"/>
            </w:tcBorders>
            <w:shd w:val="clear" w:color="auto" w:fill="FFFFFF"/>
          </w:tcPr>
          <w:p w14:paraId="33BFDB7B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Прямой подсчет соматических клеток с применением микроскопа 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6253C93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13366-1 | IDF 148-1</w:t>
            </w:r>
          </w:p>
        </w:tc>
      </w:tr>
    </w:tbl>
    <w:p w14:paraId="1437B1F9" w14:textId="77777777" w:rsidR="001F0C50" w:rsidRPr="00847C67" w:rsidRDefault="001F0C50" w:rsidP="00B05E6A">
      <w:pPr>
        <w:spacing w:after="120"/>
        <w:jc w:val="both"/>
      </w:pPr>
    </w:p>
    <w:p w14:paraId="37B34A7D" w14:textId="77777777" w:rsidR="001F0C50" w:rsidRPr="00847C67" w:rsidRDefault="00AD1755" w:rsidP="00CA6CD8">
      <w:pPr>
        <w:pStyle w:val="120"/>
      </w:pPr>
      <w:bookmarkStart w:id="82" w:name="bookmark1038"/>
      <w:bookmarkStart w:id="83" w:name="bookmark1036"/>
      <w:bookmarkStart w:id="84" w:name="bookmark1037"/>
      <w:bookmarkStart w:id="85" w:name="_Toc93224208"/>
      <w:r w:rsidRPr="00847C67">
        <w:rPr>
          <w:lang w:val="ru"/>
        </w:rPr>
        <w:t>8.2</w:t>
      </w:r>
      <w:r w:rsidRPr="00847C67">
        <w:rPr>
          <w:lang w:val="ru"/>
        </w:rPr>
        <w:tab/>
        <w:t>Вспомогательные международные эталонные методы</w:t>
      </w:r>
      <w:bookmarkEnd w:id="82"/>
      <w:bookmarkEnd w:id="83"/>
      <w:bookmarkEnd w:id="84"/>
      <w:bookmarkEnd w:id="85"/>
    </w:p>
    <w:p w14:paraId="743D7D9D" w14:textId="77777777" w:rsidR="001F0C50" w:rsidRPr="0020290C" w:rsidRDefault="00AD1755" w:rsidP="00CA6CD8">
      <w:pPr>
        <w:pStyle w:val="1tab"/>
        <w:rPr>
          <w:lang w:val="ru-RU"/>
        </w:rPr>
      </w:pPr>
      <w:bookmarkStart w:id="86" w:name="_Toc93224231"/>
      <w:r w:rsidRPr="00847C67">
        <w:rPr>
          <w:lang w:val="ru"/>
        </w:rPr>
        <w:t xml:space="preserve">Таблица 4. Вспомогательные </w:t>
      </w:r>
      <w:r w:rsidRPr="00847C67">
        <w:rPr>
          <w:lang w:val="ru"/>
        </w:rPr>
        <w:t>международные эталонные методы.</w:t>
      </w:r>
      <w:bookmarkEnd w:id="8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3514"/>
      </w:tblGrid>
      <w:tr w:rsidR="008E387F" w14:paraId="02A41109" w14:textId="77777777" w:rsidTr="009212D4"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</w:tcPr>
          <w:p w14:paraId="7608F8ED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Жиры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</w:tcPr>
          <w:p w14:paraId="514296E8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52C8B933" w14:textId="77777777" w:rsidTr="009212D4">
        <w:tc>
          <w:tcPr>
            <w:tcW w:w="5285" w:type="dxa"/>
            <w:shd w:val="clear" w:color="auto" w:fill="FFFFFF"/>
          </w:tcPr>
          <w:p w14:paraId="6B2E361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Бутирометрический метод (по Герберу)</w:t>
            </w:r>
          </w:p>
        </w:tc>
        <w:tc>
          <w:tcPr>
            <w:tcW w:w="3514" w:type="dxa"/>
            <w:shd w:val="clear" w:color="auto" w:fill="FFFFFF"/>
          </w:tcPr>
          <w:p w14:paraId="66DD4C6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19662 | IDF 238</w:t>
            </w:r>
          </w:p>
        </w:tc>
      </w:tr>
      <w:tr w:rsidR="008E387F" w14:paraId="61530EBC" w14:textId="77777777" w:rsidTr="009212D4">
        <w:tc>
          <w:tcPr>
            <w:tcW w:w="5285" w:type="dxa"/>
            <w:shd w:val="clear" w:color="auto" w:fill="FFFFFF"/>
          </w:tcPr>
          <w:p w14:paraId="7975B2B0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3514" w:type="dxa"/>
            <w:shd w:val="clear" w:color="auto" w:fill="FFFFFF"/>
          </w:tcPr>
          <w:p w14:paraId="33550FF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2000.18</w:t>
            </w:r>
          </w:p>
        </w:tc>
      </w:tr>
      <w:tr w:rsidR="008E387F" w14:paraId="7EA40112" w14:textId="77777777" w:rsidTr="009212D4">
        <w:tc>
          <w:tcPr>
            <w:tcW w:w="5285" w:type="dxa"/>
            <w:shd w:val="clear" w:color="auto" w:fill="FFFFFF"/>
          </w:tcPr>
          <w:p w14:paraId="4A693A7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Проба Бэбкока</w:t>
            </w:r>
          </w:p>
        </w:tc>
        <w:tc>
          <w:tcPr>
            <w:tcW w:w="3514" w:type="dxa"/>
            <w:shd w:val="clear" w:color="auto" w:fill="FFFFFF"/>
          </w:tcPr>
          <w:p w14:paraId="41F56803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989.04</w:t>
            </w:r>
          </w:p>
        </w:tc>
      </w:tr>
      <w:tr w:rsidR="008E387F" w14:paraId="7DE96E75" w14:textId="77777777" w:rsidTr="009212D4"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</w:tcPr>
          <w:p w14:paraId="74CA0267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Белки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</w:tcPr>
          <w:p w14:paraId="04CB14CB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03F2B235" w14:textId="77777777" w:rsidTr="009212D4">
        <w:tc>
          <w:tcPr>
            <w:tcW w:w="5285" w:type="dxa"/>
            <w:shd w:val="clear" w:color="auto" w:fill="FFFFFF"/>
          </w:tcPr>
          <w:p w14:paraId="7F3F7FF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Связывание красителя (амидочерный краситель)</w:t>
            </w:r>
          </w:p>
        </w:tc>
        <w:tc>
          <w:tcPr>
            <w:tcW w:w="3514" w:type="dxa"/>
            <w:shd w:val="clear" w:color="auto" w:fill="FFFFFF"/>
          </w:tcPr>
          <w:p w14:paraId="421D953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975.17</w:t>
            </w:r>
          </w:p>
        </w:tc>
      </w:tr>
      <w:tr w:rsidR="008E387F" w14:paraId="324DF02F" w14:textId="77777777" w:rsidTr="009212D4"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</w:tcPr>
          <w:p w14:paraId="10AB507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Лактоза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</w:tcPr>
          <w:p w14:paraId="173A4AA2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190F2F20" w14:textId="77777777" w:rsidTr="009212D4">
        <w:tc>
          <w:tcPr>
            <w:tcW w:w="5285" w:type="dxa"/>
            <w:shd w:val="clear" w:color="auto" w:fill="FFFFFF"/>
          </w:tcPr>
          <w:p w14:paraId="730411E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Ферментативный</w:t>
            </w:r>
          </w:p>
        </w:tc>
        <w:tc>
          <w:tcPr>
            <w:tcW w:w="3514" w:type="dxa"/>
            <w:shd w:val="clear" w:color="auto" w:fill="FFFFFF"/>
          </w:tcPr>
          <w:p w14:paraId="7E302BD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5765 | IDF 79</w:t>
            </w:r>
          </w:p>
        </w:tc>
      </w:tr>
      <w:tr w:rsidR="008E387F" w14:paraId="1D6FBFD4" w14:textId="77777777" w:rsidTr="009212D4">
        <w:tc>
          <w:tcPr>
            <w:tcW w:w="5285" w:type="dxa"/>
            <w:shd w:val="clear" w:color="auto" w:fill="FFFFFF"/>
          </w:tcPr>
          <w:p w14:paraId="768FABE0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3514" w:type="dxa"/>
            <w:shd w:val="clear" w:color="auto" w:fill="FFFFFF"/>
          </w:tcPr>
          <w:p w14:paraId="00C194A2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984.15</w:t>
            </w:r>
          </w:p>
        </w:tc>
      </w:tr>
      <w:tr w:rsidR="008E387F" w14:paraId="48F9137B" w14:textId="77777777" w:rsidTr="009212D4">
        <w:tc>
          <w:tcPr>
            <w:tcW w:w="5285" w:type="dxa"/>
            <w:shd w:val="clear" w:color="auto" w:fill="FFFFFF"/>
          </w:tcPr>
          <w:p w14:paraId="631EEB9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bookmark1039"/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Метод дифференциальной pH-метрии</w:t>
            </w:r>
            <w:bookmarkEnd w:id="87"/>
          </w:p>
        </w:tc>
        <w:tc>
          <w:tcPr>
            <w:tcW w:w="3514" w:type="dxa"/>
            <w:shd w:val="clear" w:color="auto" w:fill="FFFFFF"/>
          </w:tcPr>
          <w:p w14:paraId="34415225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26462 | IDF 214</w:t>
            </w:r>
          </w:p>
        </w:tc>
      </w:tr>
    </w:tbl>
    <w:p w14:paraId="166D3ED0" w14:textId="77777777" w:rsidR="001F0C50" w:rsidRPr="00847C67" w:rsidRDefault="001F0C50" w:rsidP="00B05E6A">
      <w:pPr>
        <w:spacing w:after="120"/>
        <w:jc w:val="both"/>
      </w:pPr>
    </w:p>
    <w:p w14:paraId="780F5EF7" w14:textId="77777777" w:rsidR="001F0C50" w:rsidRPr="00847C67" w:rsidRDefault="00AD1755" w:rsidP="00CA6CD8">
      <w:pPr>
        <w:pStyle w:val="120"/>
      </w:pPr>
      <w:bookmarkStart w:id="88" w:name="bookmark1040"/>
      <w:bookmarkStart w:id="89" w:name="_Toc93224209"/>
      <w:r w:rsidRPr="00847C67">
        <w:rPr>
          <w:lang w:val="ru"/>
        </w:rPr>
        <w:lastRenderedPageBreak/>
        <w:t>8.3</w:t>
      </w:r>
      <w:r w:rsidRPr="00847C67">
        <w:rPr>
          <w:lang w:val="ru"/>
        </w:rPr>
        <w:tab/>
        <w:t>Унифицированные стандартные методы</w:t>
      </w:r>
      <w:bookmarkEnd w:id="88"/>
      <w:bookmarkEnd w:id="89"/>
    </w:p>
    <w:p w14:paraId="00BB2CC9" w14:textId="77777777" w:rsidR="001F0C50" w:rsidRPr="00847C67" w:rsidRDefault="00AD1755" w:rsidP="00CA6CD8">
      <w:pPr>
        <w:pStyle w:val="1tab"/>
      </w:pPr>
      <w:bookmarkStart w:id="90" w:name="bookmark1041"/>
      <w:bookmarkStart w:id="91" w:name="_Toc93224232"/>
      <w:r w:rsidRPr="00847C67">
        <w:rPr>
          <w:lang w:val="ru"/>
        </w:rPr>
        <w:t>Таблица 5. Унифицированные стандартные методы.</w:t>
      </w:r>
      <w:bookmarkEnd w:id="90"/>
      <w:bookmarkEnd w:id="9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2"/>
        <w:gridCol w:w="4440"/>
      </w:tblGrid>
      <w:tr w:rsidR="008E387F" w14:paraId="422F225E" w14:textId="77777777" w:rsidTr="009212D4">
        <w:tc>
          <w:tcPr>
            <w:tcW w:w="4622" w:type="dxa"/>
            <w:tcBorders>
              <w:top w:val="single" w:sz="4" w:space="0" w:color="auto"/>
            </w:tcBorders>
            <w:shd w:val="clear" w:color="auto" w:fill="FFFFFF"/>
          </w:tcPr>
          <w:p w14:paraId="27B1C2A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Жиры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14:paraId="6985843E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0C37656F" w14:textId="77777777" w:rsidTr="009212D4">
        <w:tc>
          <w:tcPr>
            <w:tcW w:w="4622" w:type="dxa"/>
            <w:shd w:val="clear" w:color="auto" w:fill="FFFFFF"/>
          </w:tcPr>
          <w:p w14:paraId="2546383B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Автоматическая турбидиметрия I</w:t>
            </w:r>
          </w:p>
        </w:tc>
        <w:tc>
          <w:tcPr>
            <w:tcW w:w="4440" w:type="dxa"/>
            <w:shd w:val="clear" w:color="auto" w:fill="FFFFFF"/>
          </w:tcPr>
          <w:p w14:paraId="11E7FF3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969.16</w:t>
            </w:r>
          </w:p>
        </w:tc>
      </w:tr>
      <w:tr w:rsidR="008E387F" w14:paraId="7E0E4F66" w14:textId="77777777" w:rsidTr="009212D4">
        <w:tc>
          <w:tcPr>
            <w:tcW w:w="4622" w:type="dxa"/>
            <w:shd w:val="clear" w:color="auto" w:fill="FFFFFF"/>
          </w:tcPr>
          <w:p w14:paraId="443B157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Автоматическая турбидиметрия II</w:t>
            </w:r>
          </w:p>
        </w:tc>
        <w:tc>
          <w:tcPr>
            <w:tcW w:w="4440" w:type="dxa"/>
            <w:shd w:val="clear" w:color="auto" w:fill="FFFFFF"/>
          </w:tcPr>
          <w:p w14:paraId="29B41ECC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973.22</w:t>
            </w:r>
          </w:p>
        </w:tc>
      </w:tr>
      <w:tr w:rsidR="008E387F" w14:paraId="7BA10673" w14:textId="77777777" w:rsidTr="009212D4">
        <w:tc>
          <w:tcPr>
            <w:tcW w:w="4622" w:type="dxa"/>
            <w:tcBorders>
              <w:top w:val="single" w:sz="4" w:space="0" w:color="auto"/>
            </w:tcBorders>
            <w:shd w:val="clear" w:color="auto" w:fill="FFFFFF"/>
          </w:tcPr>
          <w:p w14:paraId="0608ED5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Белки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14:paraId="1F863B63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7C4ED3AB" w14:textId="77777777" w:rsidTr="009212D4">
        <w:tc>
          <w:tcPr>
            <w:tcW w:w="4622" w:type="dxa"/>
            <w:shd w:val="clear" w:color="auto" w:fill="FFFFFF"/>
          </w:tcPr>
          <w:p w14:paraId="6B816089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Автоматическое связывание красителя (амидочерный краситель)</w:t>
            </w:r>
          </w:p>
        </w:tc>
        <w:tc>
          <w:tcPr>
            <w:tcW w:w="4440" w:type="dxa"/>
            <w:shd w:val="clear" w:color="auto" w:fill="FFFFFF"/>
          </w:tcPr>
          <w:p w14:paraId="5D616439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975.17</w:t>
            </w:r>
          </w:p>
        </w:tc>
      </w:tr>
      <w:tr w:rsidR="008E387F" w14:paraId="19319FD0" w14:textId="77777777" w:rsidTr="009212D4">
        <w:tc>
          <w:tcPr>
            <w:tcW w:w="4622" w:type="dxa"/>
            <w:tcBorders>
              <w:top w:val="single" w:sz="4" w:space="0" w:color="auto"/>
            </w:tcBorders>
            <w:shd w:val="clear" w:color="auto" w:fill="FFFFFF"/>
          </w:tcPr>
          <w:p w14:paraId="771B35B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Жир-белок-лактоза-мочевина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14:paraId="69E88B37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44D4D609" w14:textId="77777777" w:rsidTr="009212D4">
        <w:tc>
          <w:tcPr>
            <w:tcW w:w="4622" w:type="dxa"/>
            <w:shd w:val="clear" w:color="auto" w:fill="FFFFFF"/>
          </w:tcPr>
          <w:p w14:paraId="1FCCB872" w14:textId="77777777" w:rsidR="001F0C50" w:rsidRPr="0020290C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Спектрометрия в средней инфракрасной области (СИК)</w:t>
            </w:r>
          </w:p>
        </w:tc>
        <w:tc>
          <w:tcPr>
            <w:tcW w:w="4440" w:type="dxa"/>
            <w:shd w:val="clear" w:color="auto" w:fill="FFFFFF"/>
          </w:tcPr>
          <w:p w14:paraId="0BCCA4A4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9622 | IDF 141</w:t>
            </w:r>
          </w:p>
        </w:tc>
      </w:tr>
      <w:tr w:rsidR="008E387F" w14:paraId="5109754A" w14:textId="77777777" w:rsidTr="009212D4">
        <w:tc>
          <w:tcPr>
            <w:tcW w:w="4622" w:type="dxa"/>
            <w:shd w:val="clear" w:color="auto" w:fill="FFFFFF"/>
          </w:tcPr>
          <w:p w14:paraId="3423E26C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40" w:type="dxa"/>
            <w:shd w:val="clear" w:color="auto" w:fill="FFFFFF"/>
          </w:tcPr>
          <w:p w14:paraId="5FB22A31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972.16</w:t>
            </w:r>
          </w:p>
        </w:tc>
      </w:tr>
      <w:tr w:rsidR="008E387F" w14:paraId="166F8258" w14:textId="77777777" w:rsidTr="009212D4">
        <w:tc>
          <w:tcPr>
            <w:tcW w:w="4622" w:type="dxa"/>
            <w:tcBorders>
              <w:top w:val="single" w:sz="4" w:space="0" w:color="auto"/>
            </w:tcBorders>
            <w:shd w:val="clear" w:color="auto" w:fill="FFFFFF"/>
          </w:tcPr>
          <w:p w14:paraId="72E56967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Число соматических клеток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FFFFFF"/>
          </w:tcPr>
          <w:p w14:paraId="6609863B" w14:textId="77777777" w:rsidR="001F0C50" w:rsidRPr="00CA6CD8" w:rsidRDefault="001F0C50" w:rsidP="00CA6CD8">
            <w:pPr>
              <w:ind w:left="57" w:right="57"/>
            </w:pPr>
          </w:p>
        </w:tc>
      </w:tr>
      <w:tr w:rsidR="008E387F" w14:paraId="1EFD66DD" w14:textId="77777777" w:rsidTr="009212D4">
        <w:tc>
          <w:tcPr>
            <w:tcW w:w="4622" w:type="dxa"/>
            <w:shd w:val="clear" w:color="auto" w:fill="FFFFFF"/>
          </w:tcPr>
          <w:p w14:paraId="4EE81594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Флюорооптоэлектронные методы</w:t>
            </w:r>
          </w:p>
        </w:tc>
        <w:tc>
          <w:tcPr>
            <w:tcW w:w="4440" w:type="dxa"/>
            <w:shd w:val="clear" w:color="auto" w:fill="FFFFFF"/>
          </w:tcPr>
          <w:p w14:paraId="38909DAA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ISO 13366-2 | IDF 148-2</w:t>
            </w:r>
          </w:p>
        </w:tc>
      </w:tr>
      <w:tr w:rsidR="008E387F" w14:paraId="23697E85" w14:textId="77777777" w:rsidTr="009212D4">
        <w:tc>
          <w:tcPr>
            <w:tcW w:w="4622" w:type="dxa"/>
            <w:tcBorders>
              <w:bottom w:val="single" w:sz="4" w:space="0" w:color="auto"/>
            </w:tcBorders>
            <w:shd w:val="clear" w:color="auto" w:fill="FFFFFF"/>
          </w:tcPr>
          <w:p w14:paraId="7A5FF988" w14:textId="77777777" w:rsidR="001F0C50" w:rsidRPr="00CA6CD8" w:rsidRDefault="001F0C50" w:rsidP="00CA6CD8">
            <w:pPr>
              <w:ind w:left="57" w:right="57"/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FFFFFF"/>
          </w:tcPr>
          <w:p w14:paraId="4EF4E106" w14:textId="77777777" w:rsidR="001F0C50" w:rsidRPr="00CA6CD8" w:rsidRDefault="00AD1755" w:rsidP="00CA6CD8">
            <w:pPr>
              <w:pStyle w:val="a4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AOAC 978.26</w:t>
            </w:r>
          </w:p>
        </w:tc>
      </w:tr>
    </w:tbl>
    <w:p w14:paraId="212777E7" w14:textId="77777777" w:rsidR="001F0C50" w:rsidRPr="00847C67" w:rsidRDefault="001F0C50" w:rsidP="00923AA0">
      <w:pPr>
        <w:spacing w:after="120"/>
        <w:jc w:val="both"/>
      </w:pPr>
    </w:p>
    <w:sectPr w:rsidR="001F0C50" w:rsidRPr="00847C67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E2B8" w14:textId="77777777" w:rsidR="00AD1755" w:rsidRDefault="00AD1755">
      <w:r>
        <w:separator/>
      </w:r>
    </w:p>
  </w:endnote>
  <w:endnote w:type="continuationSeparator" w:id="0">
    <w:p w14:paraId="49502927" w14:textId="77777777" w:rsidR="00AD1755" w:rsidRDefault="00A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2322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8E387F" w14:paraId="771BFD93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1538A4EC" w14:textId="77777777" w:rsidR="005F0D17" w:rsidRPr="005F0D17" w:rsidRDefault="00AD1755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70BF3719" wp14:editId="72B19F9B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169582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391BB5D8" w14:textId="77777777" w:rsidR="005F0D17" w:rsidRPr="005F0D17" w:rsidRDefault="00AD1755" w:rsidP="005F0D17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E5F0C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Анализ молока — Страница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0708E7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16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BE5F0C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 xml:space="preserve">NUMPAGES  \* Arabic  \* 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0708E7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16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BE5F0C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8E387F" w14:paraId="709C8D92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07DBF601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1C7932BF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40EFFF1E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6A94" w14:textId="77777777" w:rsidR="00847C67" w:rsidRDefault="00847C67" w:rsidP="00847C67">
    <w:pPr>
      <w:pStyle w:val="ac"/>
    </w:pPr>
  </w:p>
  <w:p w14:paraId="5E5D7719" w14:textId="77777777" w:rsidR="00847C67" w:rsidRPr="00847C67" w:rsidRDefault="00AD1755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42AED0ED" w14:textId="77777777" w:rsidR="00847C67" w:rsidRPr="005F0D17" w:rsidRDefault="00AD1755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3B83A89A" wp14:editId="44E7FE07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70698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13092378" wp14:editId="60A26CA9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18671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50CA" w14:textId="77777777" w:rsidR="00AD1755" w:rsidRDefault="00AD1755">
      <w:r>
        <w:separator/>
      </w:r>
    </w:p>
  </w:footnote>
  <w:footnote w:type="continuationSeparator" w:id="0">
    <w:p w14:paraId="1C4161E0" w14:textId="77777777" w:rsidR="00AD1755" w:rsidRDefault="00AD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8E387F" w:rsidRPr="0020290C" w14:paraId="292B40D6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48E8DD2F" w14:textId="77777777" w:rsidR="00130640" w:rsidRPr="0020290C" w:rsidRDefault="00AD1755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130640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Обзор</w:t>
          </w:r>
        </w:p>
        <w:p w14:paraId="287A2E71" w14:textId="77777777" w:rsidR="00BE5F0C" w:rsidRPr="0020290C" w:rsidRDefault="00AD1755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BE5F0C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Раздел 12. Анализ молока</w:t>
          </w:r>
        </w:p>
        <w:p w14:paraId="72545AC6" w14:textId="77777777" w:rsidR="005F0D17" w:rsidRPr="0020290C" w:rsidRDefault="00AD1755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BE5F0C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подготовки версии: апрель 2020 г.</w:t>
          </w:r>
        </w:p>
      </w:tc>
    </w:tr>
  </w:tbl>
  <w:p w14:paraId="7B632296" w14:textId="77777777" w:rsidR="005F0D17" w:rsidRPr="0020290C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709"/>
    </w:tblGrid>
    <w:tr w:rsidR="008E387F" w:rsidRPr="0020290C" w14:paraId="19847205" w14:textId="77777777" w:rsidTr="0020290C">
      <w:tc>
        <w:tcPr>
          <w:tcW w:w="1536" w:type="dxa"/>
          <w:shd w:val="clear" w:color="auto" w:fill="FFFFFF"/>
          <w:vAlign w:val="center"/>
        </w:tcPr>
        <w:p w14:paraId="706C1100" w14:textId="77777777" w:rsidR="00847C67" w:rsidRPr="00847C67" w:rsidRDefault="00AD1755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2345024F" wp14:editId="29765410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876669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9" w:type="dxa"/>
          <w:shd w:val="clear" w:color="auto" w:fill="FFFFFF"/>
          <w:vAlign w:val="center"/>
        </w:tcPr>
        <w:p w14:paraId="7CD52F4C" w14:textId="77777777" w:rsidR="00847C67" w:rsidRPr="0020290C" w:rsidRDefault="00AD1755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0916E397" w14:textId="77777777" w:rsidR="00847C67" w:rsidRPr="0020290C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708E7"/>
    <w:rsid w:val="00072F78"/>
    <w:rsid w:val="00130640"/>
    <w:rsid w:val="00144310"/>
    <w:rsid w:val="001E781F"/>
    <w:rsid w:val="001F0C50"/>
    <w:rsid w:val="0020290C"/>
    <w:rsid w:val="002212E4"/>
    <w:rsid w:val="00291AEA"/>
    <w:rsid w:val="004C7DA2"/>
    <w:rsid w:val="004D7D31"/>
    <w:rsid w:val="0056063D"/>
    <w:rsid w:val="005638A8"/>
    <w:rsid w:val="005F0D17"/>
    <w:rsid w:val="005F6243"/>
    <w:rsid w:val="00610D16"/>
    <w:rsid w:val="006420D6"/>
    <w:rsid w:val="006A4A15"/>
    <w:rsid w:val="006E22D3"/>
    <w:rsid w:val="00716554"/>
    <w:rsid w:val="00817293"/>
    <w:rsid w:val="00847C67"/>
    <w:rsid w:val="0085133C"/>
    <w:rsid w:val="008E387F"/>
    <w:rsid w:val="009212D4"/>
    <w:rsid w:val="00923AA0"/>
    <w:rsid w:val="009519D2"/>
    <w:rsid w:val="009A15C4"/>
    <w:rsid w:val="00A53073"/>
    <w:rsid w:val="00A71700"/>
    <w:rsid w:val="00AD1755"/>
    <w:rsid w:val="00B05E6A"/>
    <w:rsid w:val="00B66435"/>
    <w:rsid w:val="00B671F2"/>
    <w:rsid w:val="00BE2C58"/>
    <w:rsid w:val="00BE5F0C"/>
    <w:rsid w:val="00C47253"/>
    <w:rsid w:val="00C76436"/>
    <w:rsid w:val="00C80486"/>
    <w:rsid w:val="00CA6CD8"/>
    <w:rsid w:val="00CB6246"/>
    <w:rsid w:val="00DB0CBB"/>
    <w:rsid w:val="00E91D01"/>
    <w:rsid w:val="00EF1017"/>
    <w:rsid w:val="00F153E4"/>
    <w:rsid w:val="00F33BE6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6164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277F-6BFA-44E2-AC12-BDF1B40E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9</cp:revision>
  <dcterms:created xsi:type="dcterms:W3CDTF">2022-01-16T08:18:00Z</dcterms:created>
  <dcterms:modified xsi:type="dcterms:W3CDTF">2022-02-18T18:45:00Z</dcterms:modified>
</cp:coreProperties>
</file>