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96" w:rsidRPr="00601EF4" w:rsidRDefault="00D02F96" w:rsidP="007200DA">
      <w:pPr>
        <w:spacing w:after="2880"/>
        <w:jc w:val="both"/>
      </w:pPr>
    </w:p>
    <w:p w:rsidR="00D02F96" w:rsidRPr="00601EF4" w:rsidRDefault="00C8577A" w:rsidP="007200DA">
      <w:pPr>
        <w:pStyle w:val="10"/>
        <w:shd w:val="clear" w:color="auto" w:fill="auto"/>
        <w:spacing w:after="120" w:line="240" w:lineRule="auto"/>
        <w:ind w:left="0" w:firstLine="0"/>
        <w:outlineLvl w:val="9"/>
        <w:rPr>
          <w:rFonts w:ascii="Times New Roman" w:hAnsi="Times New Roman" w:cs="Times New Roman"/>
          <w:b w:val="0"/>
          <w:szCs w:val="24"/>
          <w:lang w:val="ru-RU"/>
        </w:rPr>
      </w:pPr>
      <w:r w:rsidRPr="00601EF4">
        <w:rPr>
          <w:rFonts w:ascii="Times New Roman" w:hAnsi="Times New Roman" w:cs="Times New Roman"/>
          <w:szCs w:val="24"/>
          <w:lang w:val="ru"/>
        </w:rPr>
        <w:t>Раздел 15 — Обзор руководства по обмену данными</w:t>
      </w:r>
    </w:p>
    <w:p w:rsidR="007200DA" w:rsidRPr="00601EF4" w:rsidRDefault="007200DA" w:rsidP="007200DA">
      <w:pPr>
        <w:pStyle w:val="70"/>
        <w:shd w:val="clear" w:color="auto" w:fill="auto"/>
        <w:spacing w:after="120"/>
        <w:ind w:firstLine="0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D02F96" w:rsidRPr="00601EF4" w:rsidRDefault="00C8577A" w:rsidP="007200DA">
      <w:pPr>
        <w:pStyle w:val="70"/>
        <w:shd w:val="clear" w:color="auto" w:fill="auto"/>
        <w:ind w:firstLine="0"/>
        <w:rPr>
          <w:rFonts w:ascii="Times New Roman" w:hAnsi="Times New Roman" w:cs="Times New Roman"/>
          <w:b w:val="0"/>
          <w:szCs w:val="24"/>
          <w:lang w:val="ru-RU"/>
        </w:rPr>
      </w:pPr>
      <w:r w:rsidRPr="00601EF4">
        <w:rPr>
          <w:rFonts w:ascii="Times New Roman" w:hAnsi="Times New Roman" w:cs="Times New Roman"/>
          <w:szCs w:val="24"/>
          <w:lang w:val="ru"/>
        </w:rPr>
        <w:t>Раздел 15 — Обмен данными</w:t>
      </w:r>
    </w:p>
    <w:p w:rsidR="00D02F96" w:rsidRPr="00601EF4" w:rsidRDefault="00C8577A" w:rsidP="007200DA">
      <w:pPr>
        <w:pStyle w:val="60"/>
        <w:shd w:val="clear" w:color="auto" w:fill="auto"/>
        <w:ind w:firstLine="0"/>
        <w:rPr>
          <w:rFonts w:ascii="Times New Roman" w:hAnsi="Times New Roman" w:cs="Times New Roman"/>
          <w:sz w:val="18"/>
          <w:szCs w:val="24"/>
          <w:lang w:val="ru-RU"/>
        </w:rPr>
      </w:pPr>
      <w:r w:rsidRPr="00601EF4">
        <w:rPr>
          <w:rFonts w:ascii="Times New Roman" w:hAnsi="Times New Roman" w:cs="Times New Roman"/>
          <w:sz w:val="18"/>
          <w:szCs w:val="24"/>
          <w:lang w:val="ru"/>
        </w:rPr>
        <w:t>Дата выпуска версии: февраль 2019 г.</w:t>
      </w:r>
    </w:p>
    <w:p w:rsidR="00D02F96" w:rsidRPr="00601EF4" w:rsidRDefault="00C8577A" w:rsidP="007200DA">
      <w:pPr>
        <w:pStyle w:val="60"/>
        <w:shd w:val="clear" w:color="auto" w:fill="auto"/>
        <w:spacing w:after="120"/>
        <w:ind w:firstLine="0"/>
        <w:rPr>
          <w:rFonts w:ascii="Times New Roman" w:hAnsi="Times New Roman" w:cs="Times New Roman"/>
          <w:sz w:val="18"/>
          <w:szCs w:val="24"/>
        </w:rPr>
      </w:pPr>
      <w:r w:rsidRPr="00601EF4">
        <w:rPr>
          <w:rFonts w:ascii="Times New Roman" w:hAnsi="Times New Roman" w:cs="Times New Roman"/>
          <w:sz w:val="18"/>
          <w:szCs w:val="24"/>
          <w:lang w:val="ru"/>
        </w:rPr>
        <w:t>Ссылка</w:t>
      </w:r>
      <w:r w:rsidRPr="00601EF4">
        <w:rPr>
          <w:rFonts w:ascii="Times New Roman" w:hAnsi="Times New Roman" w:cs="Times New Roman"/>
          <w:sz w:val="18"/>
          <w:szCs w:val="24"/>
        </w:rPr>
        <w:t>: 15 Data Exchange v19.02.docx</w:t>
      </w:r>
    </w:p>
    <w:p w:rsidR="007200DA" w:rsidRPr="00601EF4" w:rsidRDefault="007200DA" w:rsidP="00037615">
      <w:pPr>
        <w:spacing w:after="120"/>
        <w:jc w:val="both"/>
      </w:pPr>
    </w:p>
    <w:p w:rsidR="007200DA" w:rsidRPr="00601EF4" w:rsidRDefault="007200DA" w:rsidP="00037615">
      <w:pPr>
        <w:spacing w:after="120"/>
        <w:jc w:val="both"/>
        <w:sectPr w:rsidR="007200DA" w:rsidRPr="00601EF4" w:rsidSect="007200DA">
          <w:headerReference w:type="default" r:id="rId7"/>
          <w:footerReference w:type="default" r:id="rId8"/>
          <w:pgSz w:w="11909" w:h="16834" w:code="9"/>
          <w:pgMar w:top="1418" w:right="1418" w:bottom="1418" w:left="1418" w:header="709" w:footer="709" w:gutter="0"/>
          <w:cols w:space="720"/>
          <w:noEndnote/>
          <w:docGrid w:linePitch="360"/>
        </w:sectPr>
      </w:pPr>
    </w:p>
    <w:p w:rsidR="00D02F96" w:rsidRPr="00601EF4" w:rsidRDefault="00C8577A" w:rsidP="0075317E">
      <w:pPr>
        <w:pStyle w:val="110"/>
        <w:spacing w:before="120"/>
      </w:pPr>
      <w:bookmarkStart w:id="0" w:name="bookmark24"/>
      <w:r w:rsidRPr="00601EF4">
        <w:rPr>
          <w:lang w:val="en-US"/>
        </w:rPr>
        <w:lastRenderedPageBreak/>
        <w:t>1</w:t>
      </w:r>
      <w:r w:rsidRPr="00601EF4">
        <w:rPr>
          <w:lang w:val="en-US"/>
        </w:rPr>
        <w:tab/>
      </w:r>
      <w:r w:rsidRPr="00601EF4">
        <w:rPr>
          <w:lang w:val="ru"/>
        </w:rPr>
        <w:t>Введение</w:t>
      </w:r>
      <w:bookmarkEnd w:id="0"/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 xml:space="preserve">Регистрация животных предусматривает сбор, хранение и 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обмен данными. Со временем использование электронных систем эволюционировало от простой централизованной обработки данных, как в начале 1970-х, до нынешнего момента (2016 год), когда эти системы используются во всех областях регистрации животных. Электронн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ые системы, используемые для сбора, хранения, передачи и обработки данных и информации, теперь широко используются техническими специалистами, фермерами, консультантами и операторами центральных систем. Эта эволюция продолжается интенсивными темпами по все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му миру. По мере распространения электронных систем очень сильно возросла необходимость в стандартах, способствующих удобной передаче данных между системами.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Эта часть руководства ICAR (глава 15) посвящена стандартам, способствующим передаче данных, и проц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ессам, обеспечивающим соответствие электронных систем рекомендациям ICAR.</w:t>
      </w:r>
    </w:p>
    <w:p w:rsidR="00D02F96" w:rsidRPr="00601EF4" w:rsidRDefault="00C8577A" w:rsidP="001A2806">
      <w:pPr>
        <w:pStyle w:val="110"/>
      </w:pPr>
      <w:bookmarkStart w:id="1" w:name="bookmark25"/>
      <w:r w:rsidRPr="00601EF4">
        <w:rPr>
          <w:lang w:val="ru"/>
        </w:rPr>
        <w:t>2</w:t>
      </w:r>
      <w:r w:rsidRPr="00601EF4">
        <w:rPr>
          <w:lang w:val="ru"/>
        </w:rPr>
        <w:tab/>
        <w:t>Определения и терминология</w:t>
      </w:r>
      <w:bookmarkEnd w:id="1"/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Таблица 1 содержит список определений терминов и аббревиатур, используемых в настоящем руководстве.</w:t>
      </w:r>
    </w:p>
    <w:p w:rsidR="00D02F96" w:rsidRPr="00601EF4" w:rsidRDefault="00C8577A" w:rsidP="001A2806">
      <w:pPr>
        <w:pStyle w:val="1tab"/>
        <w:rPr>
          <w:b/>
          <w:lang w:val="ru-RU"/>
        </w:rPr>
      </w:pPr>
      <w:r w:rsidRPr="00601EF4">
        <w:rPr>
          <w:lang w:val="ru"/>
        </w:rPr>
        <w:t>Таблица 1. Определения терминов и аббревиатур, исполь</w:t>
      </w:r>
      <w:r w:rsidRPr="00601EF4">
        <w:rPr>
          <w:lang w:val="ru"/>
        </w:rPr>
        <w:t>зуемых в настоящем руководстве.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7546"/>
      </w:tblGrid>
      <w:tr w:rsidR="000628FC" w:rsidRPr="00601EF4" w:rsidTr="001A2806">
        <w:trPr>
          <w:tblHeader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89E"/>
          </w:tcPr>
          <w:p w:rsidR="00D02F96" w:rsidRPr="00601EF4" w:rsidRDefault="00C8577A" w:rsidP="001A2806">
            <w:pPr>
              <w:pStyle w:val="a4"/>
              <w:shd w:val="clear" w:color="auto" w:fill="auto"/>
              <w:spacing w:before="20" w:after="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"/>
              </w:rPr>
              <w:t>Термин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89E"/>
          </w:tcPr>
          <w:p w:rsidR="00D02F96" w:rsidRPr="00601EF4" w:rsidRDefault="00C8577A" w:rsidP="001A2806">
            <w:pPr>
              <w:pStyle w:val="a4"/>
              <w:shd w:val="clear" w:color="auto" w:fill="auto"/>
              <w:spacing w:before="20" w:after="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"/>
              </w:rPr>
              <w:t>Определение</w:t>
            </w:r>
          </w:p>
        </w:tc>
      </w:tr>
      <w:tr w:rsidR="000628FC" w:rsidRPr="00601EF4" w:rsidTr="00FF1FF3"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Устройство для сбора данных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Электронное устройство, собирающее данные. Примеры: устройство ввода данных в электронном виде (клавиатуры, мыши, указатели, тач-пэды, тач-скрины), весы, анализаторы молока, </w:t>
            </w: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камеры, электронные датчики молока, электронные устройства для считывания и идентификации, шагомеры.</w:t>
            </w:r>
          </w:p>
        </w:tc>
      </w:tr>
      <w:tr w:rsidR="000628FC" w:rsidRPr="00601EF4" w:rsidTr="00FF1FF3"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Информация для принятия решений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Информация, предоставляемая устройством или компьютерной системой и используемая при принятии решений. Общая задача </w:t>
            </w: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регистрации животных состоит в содействии принятию более обоснованных решений.</w:t>
            </w:r>
          </w:p>
        </w:tc>
      </w:tr>
      <w:tr w:rsidR="000628FC" w:rsidRPr="00601EF4" w:rsidTr="00FF1FF3"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Система управления фермой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Компьютерная система, которая собирает, хранит и анализирует данные о животных на данной ферме. Выходные данные системы управления фермой используются</w:t>
            </w: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работниками фермы в ходе реализации различных управленческих решений. Обычно это были системы на основе ПК, установленных на ферме, и только недавно они начали эволюционировать в облачные системы.</w:t>
            </w:r>
          </w:p>
        </w:tc>
      </w:tr>
      <w:tr w:rsidR="000628FC" w:rsidRPr="00601EF4" w:rsidTr="00FF1FF3"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Выездной технолог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Любое лицо, которое посещает ферму с це</w:t>
            </w: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лью оказания специальных услуг в области животноводства. Это, например (в рамках данного руководства), ветеринары, техники, занимающиеся искусственным осеменением, регистрацией надоев, копытчики, специалисты по линейному расчету и специалисты по классифика</w:t>
            </w: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ции животных.</w:t>
            </w:r>
          </w:p>
        </w:tc>
      </w:tr>
      <w:tr w:rsidR="000628FC" w:rsidRPr="00601EF4" w:rsidTr="00FF1FF3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Информационная система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Компьютерная система, в основе которой часто лежит реляционная база данных, которая собирает, хранит и анализирует данные о животных, относящиеся к большому числу ферм. Такая база может </w:t>
            </w: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относиться к конкретным услугам,</w:t>
            </w: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например к регистрации, передвижению, информации о надоях, ведению племенной книги, искусственному осеменению, генетической оценке (национальной или международной), или же может включать в себя различные услуги в рамках определенного географического регио</w:t>
            </w: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на.</w:t>
            </w:r>
          </w:p>
        </w:tc>
      </w:tr>
      <w:tr w:rsidR="000628FC" w:rsidRPr="00601EF4" w:rsidTr="00FF1FF3"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Оборудование для производства молока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Оборудование для производства молока представляет собой набор аппаратных и программных средств, который включает в себя, по меньшей мере, следующие функции: а. Измерение количества и характеристик молока; б. </w:t>
            </w: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Наполнение бутылок образцами молока и регистрация связи между идентификатором бутылки и идентификатором животного; в. Хранение результатов анализа молока; г. Подключение, отправка и получение данных от внешних информационных систем.</w:t>
            </w:r>
          </w:p>
        </w:tc>
      </w:tr>
      <w:tr w:rsidR="000628FC" w:rsidRPr="00601EF4" w:rsidTr="00FF1FF3"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Оператор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Функция опера</w:t>
            </w: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тора может выполняться различными лицами: фермером, персоналом фермы или техником поставщика услуг, например, организации, осуществляющей регистрацию молока.</w:t>
            </w:r>
          </w:p>
        </w:tc>
      </w:tr>
      <w:tr w:rsidR="000628FC" w:rsidRPr="00601EF4" w:rsidTr="00FF1FF3"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REST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Передача состояния представления (REST) — архитектурный стиль, определяющий ряд </w:t>
            </w: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ограничителей, используемых при создании веб-сервисов.</w:t>
            </w:r>
          </w:p>
        </w:tc>
      </w:tr>
      <w:tr w:rsidR="000628FC" w:rsidRPr="00601EF4" w:rsidTr="00FF1FF3"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Поставщик услуги (сервиса)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Организации предоставляют услуги владельцам оборудования для производства молока со следующими целями: а) регистрация данных в многоцелевой базе данных и б) предоставление с</w:t>
            </w: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водной информации.</w:t>
            </w:r>
          </w:p>
        </w:tc>
      </w:tr>
      <w:tr w:rsidR="000628FC" w:rsidRPr="00601EF4" w:rsidTr="00FF1FF3"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SOAP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(изначально: Простой протокол доступа к объектам) это спецификация протокола сообщений для обмена структурированной информацией посредством веб-сервисов в компьютерных сетях.</w:t>
            </w:r>
          </w:p>
        </w:tc>
      </w:tr>
      <w:tr w:rsidR="000628FC" w:rsidRPr="00601EF4" w:rsidTr="00FF1FF3"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Система для техников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Компьютерная система, используемая</w:t>
            </w: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выездными техниками, оказывающими животноводческие услуги различным фермам. Обычно эти системы собирают, хранят и анализируют данные о животных, относящиеся к фермам, обслуживаемым одним техником. Эта система предоставляет информацию, используемую технико</w:t>
            </w: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 для организации своей работы.</w:t>
            </w:r>
          </w:p>
        </w:tc>
      </w:tr>
      <w:tr w:rsidR="000628FC" w:rsidRPr="00601EF4" w:rsidTr="00FF1FF3"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UNCEFACT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— Центр ООН по упрощению процедур торговли и электронных деловых операций. Он был основан в качестве межправительственного органа Европейской экономической комиссии ООН (UNECE) в 1996 году, что стало результатом д</w:t>
            </w: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авней традиции работы UNECE в сфере содействия торговле (с 1957 года).</w:t>
            </w:r>
          </w:p>
        </w:tc>
      </w:tr>
      <w:tr w:rsidR="000628FC" w:rsidRPr="00601EF4" w:rsidTr="00FF1FF3"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W3C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Консорциум мировой сети (W3C) — международное сообщество, организации-члены которого ведут совместную разработку сетевых стандартов в тесном взаимодействии с представителями </w:t>
            </w: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общественности.</w:t>
            </w:r>
          </w:p>
        </w:tc>
      </w:tr>
      <w:tr w:rsidR="000628FC" w:rsidRPr="00601EF4" w:rsidTr="00FF1FF3"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4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WSDL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Язык описания программных интерфейсов (WDSL) — язык для описания интерфейсов на основе XML, который используется для описания функционала, предлагаемого веб-сервисом.</w:t>
            </w:r>
          </w:p>
        </w:tc>
      </w:tr>
      <w:tr w:rsidR="000628FC" w:rsidRPr="00601EF4" w:rsidTr="00FF1FF3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XML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96" w:rsidRPr="00601EF4" w:rsidRDefault="00C8577A" w:rsidP="0068740E">
            <w:pPr>
              <w:pStyle w:val="a4"/>
              <w:shd w:val="clear" w:color="auto" w:fill="auto"/>
              <w:spacing w:before="20" w:after="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Язык XML (расширяемый язык разметки) — язык разметки, определя</w:t>
            </w:r>
            <w:r w:rsidRPr="00601E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ющий набор правил для кодирования документов в формате, который могут читать как люди, так и машины.</w:t>
            </w:r>
          </w:p>
        </w:tc>
      </w:tr>
    </w:tbl>
    <w:p w:rsidR="00D02F96" w:rsidRPr="00601EF4" w:rsidRDefault="00C8577A" w:rsidP="001A2806">
      <w:pPr>
        <w:pStyle w:val="110"/>
      </w:pPr>
      <w:bookmarkStart w:id="2" w:name="bookmark26"/>
      <w:r w:rsidRPr="00601EF4">
        <w:rPr>
          <w:lang w:val="ru"/>
        </w:rPr>
        <w:lastRenderedPageBreak/>
        <w:t>3</w:t>
      </w:r>
      <w:r w:rsidRPr="00601EF4">
        <w:rPr>
          <w:lang w:val="ru"/>
        </w:rPr>
        <w:tab/>
        <w:t>Цели</w:t>
      </w:r>
      <w:bookmarkStart w:id="3" w:name="_GoBack"/>
      <w:bookmarkEnd w:id="2"/>
      <w:bookmarkEnd w:id="3"/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Данное руководство имеет следующие цели:</w:t>
      </w:r>
    </w:p>
    <w:p w:rsidR="00037615" w:rsidRPr="00601EF4" w:rsidRDefault="00C8577A" w:rsidP="00601EF4">
      <w:pPr>
        <w:pStyle w:val="11"/>
        <w:shd w:val="clear" w:color="auto" w:fill="auto"/>
        <w:spacing w:after="120"/>
        <w:ind w:left="709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а.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Предоставить разработчикам систем обработки данных стандарты и процессы, которые они могут использовать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 xml:space="preserve"> для обеспечения того, чтобы разрабатываемые ими устройства и системы просто и надежно совмещались с полным объемом животноводческих информационных систем, используемых членами ICAR.</w:t>
      </w:r>
    </w:p>
    <w:p w:rsidR="00D02F96" w:rsidRPr="00601EF4" w:rsidRDefault="00C8577A" w:rsidP="00601EF4">
      <w:pPr>
        <w:pStyle w:val="11"/>
        <w:shd w:val="clear" w:color="auto" w:fill="auto"/>
        <w:spacing w:after="120"/>
        <w:ind w:left="709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б.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Гармонизация определений</w:t>
      </w:r>
      <w:r w:rsidR="00601EF4">
        <w:rPr>
          <w:rFonts w:ascii="Times New Roman" w:hAnsi="Times New Roman" w:cs="Times New Roman"/>
          <w:sz w:val="24"/>
          <w:szCs w:val="24"/>
          <w:lang w:val="ru"/>
        </w:rPr>
        <w:t>,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 xml:space="preserve"> обмениваемых данных для того, чтобы обеспечит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ь обмен информации между гетерогенными информационными системами.</w:t>
      </w:r>
    </w:p>
    <w:p w:rsidR="00D02F96" w:rsidRPr="00601EF4" w:rsidRDefault="00C8577A" w:rsidP="00601EF4">
      <w:pPr>
        <w:pStyle w:val="11"/>
        <w:shd w:val="clear" w:color="auto" w:fill="auto"/>
        <w:spacing w:after="120"/>
        <w:ind w:left="709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в.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Разработка глобальных консенсусных словарей данных по домашнему скоту.</w:t>
      </w:r>
    </w:p>
    <w:p w:rsidR="00D02F96" w:rsidRPr="00601EF4" w:rsidRDefault="00C8577A" w:rsidP="00601EF4">
      <w:pPr>
        <w:pStyle w:val="11"/>
        <w:shd w:val="clear" w:color="auto" w:fill="auto"/>
        <w:spacing w:after="120"/>
        <w:ind w:left="709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г.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Разработка и установка стандартизированных систем с целью поддержки обмена данными между информационными системам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и и оборудованием фермы.</w:t>
      </w:r>
    </w:p>
    <w:p w:rsidR="00D02F96" w:rsidRPr="00601EF4" w:rsidRDefault="00C8577A" w:rsidP="001A2806">
      <w:pPr>
        <w:pStyle w:val="110"/>
      </w:pPr>
      <w:bookmarkStart w:id="4" w:name="bookmark27"/>
      <w:r w:rsidRPr="00601EF4">
        <w:rPr>
          <w:lang w:val="ru"/>
        </w:rPr>
        <w:t>4</w:t>
      </w:r>
      <w:r w:rsidRPr="00601EF4">
        <w:rPr>
          <w:lang w:val="ru"/>
        </w:rPr>
        <w:tab/>
        <w:t>Область применения</w:t>
      </w:r>
      <w:bookmarkEnd w:id="4"/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Обмен информацией о животных состоит из:</w:t>
      </w:r>
    </w:p>
    <w:p w:rsidR="00D02F96" w:rsidRPr="00601EF4" w:rsidRDefault="00C8577A" w:rsidP="001A2806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а.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Коммерческих требований и технических спецификаций</w:t>
      </w:r>
    </w:p>
    <w:p w:rsidR="00D02F96" w:rsidRPr="00601EF4" w:rsidRDefault="00C8577A" w:rsidP="001A2806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б.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Описаний данных, предоставляемых в виде файлов в соответствии с рекомендациями W3C в отношении XML-схем, UNCEFAC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T и ISO.</w:t>
      </w:r>
    </w:p>
    <w:p w:rsidR="00D02F96" w:rsidRPr="00601EF4" w:rsidRDefault="00C8577A" w:rsidP="001A2806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в.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Спецификаций интерфейса, предоставляемых в виде файлов в соответствии с рекомендациями W3C в отношении языков описания веб-сервисов (WSD).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В настоящем Руководстве представлены три типа коммерческих требований:</w:t>
      </w:r>
    </w:p>
    <w:p w:rsidR="00D02F96" w:rsidRPr="00601EF4" w:rsidRDefault="00C8577A" w:rsidP="001A2806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а.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 xml:space="preserve">Общие коммерческие требования, 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относящиеся к любым типам обмена данными.</w:t>
      </w:r>
    </w:p>
    <w:p w:rsidR="00D02F96" w:rsidRPr="00601EF4" w:rsidRDefault="00C8577A" w:rsidP="001A2806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б.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Специальные коммерческие требования, относящиеся к конкретному типу обмена данными (процедуры со второй по пятую).</w:t>
      </w:r>
    </w:p>
    <w:p w:rsidR="00D02F96" w:rsidRPr="00601EF4" w:rsidRDefault="00C8577A" w:rsidP="001A2806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в.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Описания данных (Приложение А)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 xml:space="preserve">Специальные коммерческие требования указывают следующие 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подробности конкретного типа обмена данными:</w:t>
      </w:r>
    </w:p>
    <w:p w:rsidR="00D02F96" w:rsidRPr="00601EF4" w:rsidRDefault="00C8577A" w:rsidP="001A2806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а.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цель обмена данными</w:t>
      </w:r>
    </w:p>
    <w:p w:rsidR="00D02F96" w:rsidRPr="00601EF4" w:rsidRDefault="00C8577A" w:rsidP="001A2806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б.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коммерческий контекст обмена данными; или</w:t>
      </w:r>
    </w:p>
    <w:p w:rsidR="00D02F96" w:rsidRPr="00601EF4" w:rsidRDefault="00C8577A" w:rsidP="001A2806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в.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требования к обмену данными, включающие в себя описания сообщений, которыми идет обмен.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Описание данных включает в себя:</w:t>
      </w:r>
    </w:p>
    <w:p w:rsidR="00D02F96" w:rsidRPr="00601EF4" w:rsidRDefault="00C8577A" w:rsidP="001A2806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fr-FR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а.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Описание сервиса</w:t>
      </w:r>
    </w:p>
    <w:p w:rsidR="00D02F96" w:rsidRPr="00601EF4" w:rsidRDefault="00C8577A" w:rsidP="001A2806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fr-FR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б.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Состав сообщения</w:t>
      </w:r>
    </w:p>
    <w:p w:rsidR="00D02F96" w:rsidRPr="00601EF4" w:rsidRDefault="00C8577A" w:rsidP="001A2806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fr-FR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в.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Описание объекта</w:t>
      </w:r>
    </w:p>
    <w:p w:rsidR="00D02F96" w:rsidRPr="00601EF4" w:rsidRDefault="00C8577A" w:rsidP="001A2806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г.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Описание элемента данных</w:t>
      </w:r>
    </w:p>
    <w:p w:rsidR="00D02F96" w:rsidRPr="00601EF4" w:rsidRDefault="00C8577A" w:rsidP="001A2806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д.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Описание набора кодов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lastRenderedPageBreak/>
        <w:t>Техническое исполнение предусматривает применение тех же коммерческих требований, но иным образом:</w:t>
      </w:r>
    </w:p>
    <w:p w:rsidR="00D02F96" w:rsidRPr="00601EF4" w:rsidRDefault="00C8577A" w:rsidP="001A2806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а.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В основном с помощью рекомендаций W3C и UNCEFACT в отношении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 xml:space="preserve"> определений данных и интерфейса (SOAP).</w:t>
      </w:r>
    </w:p>
    <w:p w:rsidR="00D02F96" w:rsidRPr="00601EF4" w:rsidRDefault="00C8577A" w:rsidP="001A2806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б.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Другой способ — использование существующих стандартов ISO (17532:2007) для обмена данными на ферме с помощью стационарного оборудования и технологии REST (это должно быть более подробно описано в будущей версии с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пецификации ICAR ADE).</w:t>
      </w:r>
    </w:p>
    <w:p w:rsidR="00D02F96" w:rsidRPr="00601EF4" w:rsidRDefault="00C8577A" w:rsidP="001A2806">
      <w:pPr>
        <w:pStyle w:val="110"/>
      </w:pPr>
      <w:bookmarkStart w:id="5" w:name="bookmark28"/>
      <w:r w:rsidRPr="00601EF4">
        <w:rPr>
          <w:lang w:val="ru"/>
        </w:rPr>
        <w:t>5</w:t>
      </w:r>
      <w:r w:rsidRPr="00601EF4">
        <w:rPr>
          <w:lang w:val="ru"/>
        </w:rPr>
        <w:tab/>
        <w:t>Обзор обмена данными о животных</w:t>
      </w:r>
      <w:bookmarkEnd w:id="5"/>
    </w:p>
    <w:p w:rsidR="00D02F96" w:rsidRPr="00601EF4" w:rsidRDefault="00C8577A" w:rsidP="001A2806">
      <w:pPr>
        <w:pStyle w:val="12"/>
      </w:pPr>
      <w:r w:rsidRPr="00601EF4">
        <w:rPr>
          <w:lang w:val="ru"/>
        </w:rPr>
        <w:t>5.1</w:t>
      </w:r>
      <w:r w:rsidRPr="00601EF4">
        <w:rPr>
          <w:lang w:val="ru"/>
        </w:rPr>
        <w:tab/>
        <w:t>Вводная информация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На данный момент обмен данными между оборудованием и внешними информационными системами отсутствует или предусматривает использование межплатформенного ПО (см. Рисунок 1) между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 xml:space="preserve"> оборудованием и информационной системой. Он основывается в основном на региональных, отдельных для каждого производителя или устаревших международных стандартах (ISO ADED </w:t>
      </w:r>
      <w:r w:rsidR="00601EF4" w:rsidRPr="00601EF4">
        <w:rPr>
          <w:rFonts w:ascii="Times New Roman" w:hAnsi="Times New Roman" w:cs="Times New Roman"/>
          <w:sz w:val="24"/>
          <w:szCs w:val="24"/>
          <w:lang w:val="ru"/>
        </w:rPr>
        <w:t>1996 — ISO 11788-1, ISO 11788-2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 xml:space="preserve">, ISO 11788-3, подробности см. </w:t>
      </w:r>
      <w:hyperlink r:id="rId9" w:history="1">
        <w:r w:rsidRPr="00601EF4">
          <w:rPr>
            <w:rStyle w:val="aa"/>
            <w:rFonts w:ascii="Times New Roman" w:hAnsi="Times New Roman" w:cs="Times New Roman"/>
            <w:color w:val="0000FF"/>
            <w:sz w:val="24"/>
            <w:szCs w:val="24"/>
            <w:lang w:val="ru"/>
          </w:rPr>
          <w:t>здесь</w:t>
        </w:r>
      </w:hyperlink>
      <w:r w:rsidRPr="00601EF4">
        <w:rPr>
          <w:rFonts w:ascii="Times New Roman" w:hAnsi="Times New Roman" w:cs="Times New Roman"/>
          <w:sz w:val="24"/>
          <w:szCs w:val="24"/>
          <w:lang w:val="ru"/>
        </w:rPr>
        <w:t>).</w:t>
      </w:r>
    </w:p>
    <w:p w:rsidR="00CF4028" w:rsidRPr="00601EF4" w:rsidRDefault="00C8577A" w:rsidP="005B4D28">
      <w:pPr>
        <w:pStyle w:val="1fig"/>
      </w:pPr>
      <w:r w:rsidRPr="00601EF4">
        <w:rPr>
          <w:noProof/>
          <w:lang w:bidi="ar-SA"/>
        </w:rPr>
        <w:drawing>
          <wp:inline distT="0" distB="0" distL="0" distR="0">
            <wp:extent cx="3508375" cy="1027430"/>
            <wp:effectExtent l="0" t="0" r="0" b="0"/>
            <wp:docPr id="39" name="Picut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338494" name="Picture 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8375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"/>
        <w:tblW w:w="9073" w:type="dxa"/>
        <w:tblLayout w:type="fixed"/>
        <w:tblLook w:val="04A0" w:firstRow="1" w:lastRow="0" w:firstColumn="1" w:lastColumn="0" w:noHBand="0" w:noVBand="1"/>
      </w:tblPr>
      <w:tblGrid>
        <w:gridCol w:w="4536"/>
        <w:gridCol w:w="4537"/>
      </w:tblGrid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Equipment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Оборудование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Middleware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Межплатформенное ПО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Information system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Информационная система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or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или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Equipment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Оборудование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Information system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Информационная система</w:t>
            </w:r>
          </w:p>
        </w:tc>
      </w:tr>
    </w:tbl>
    <w:p w:rsidR="00D02F96" w:rsidRPr="00601EF4" w:rsidRDefault="00C8577A" w:rsidP="005B4D28">
      <w:pPr>
        <w:pStyle w:val="a9"/>
        <w:shd w:val="clear" w:color="auto" w:fill="auto"/>
        <w:spacing w:after="12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Рисунок 1. Текущая ситуация в области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 xml:space="preserve"> обмена данными.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Такое межплатформенное ПО дорого устанавливать и сложно поддерживать. Оно требует осуществления операций вручную и не позволяет уменьшить задержку между событием и его регистрацией внешней информационной системой, а также обмениваться боль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шими объемами данных.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Сегодня дата-центры информации о животных, оснащенные современной высокоскоростной ИТ-инфраструктурой, способны обрабатывать огромные массивы данных, генерируемые постоянно растущим количеством оборудования на фермах, датчиками и анал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итическими методами. Для того, чтобы иметь надежный доступ к таким данным, необходимо организовать высокий уровень автоматизации и стандартизации обмена данными.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Обмен большим количеством данных в реальном времени позволит: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а.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 xml:space="preserve">скрещивать животных с целью 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получения новых полезных качеств;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б.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улучшить качество мониторинга животных с помощью агрегации данных из различных источников: оборудования, аналитических лабораторий и т. д.;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lastRenderedPageBreak/>
        <w:t>в.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улучшить качество калибровки оборудования фермы с целью повышения точности и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змерений.</w:t>
      </w:r>
    </w:p>
    <w:p w:rsidR="00D02F96" w:rsidRPr="00601EF4" w:rsidRDefault="00C8577A" w:rsidP="005B4D28">
      <w:pPr>
        <w:pStyle w:val="12"/>
        <w:rPr>
          <w:lang w:val="ru-RU"/>
        </w:rPr>
      </w:pPr>
      <w:r w:rsidRPr="00601EF4">
        <w:rPr>
          <w:lang w:val="ru"/>
        </w:rPr>
        <w:t>5.2</w:t>
      </w:r>
      <w:r w:rsidRPr="00601EF4">
        <w:rPr>
          <w:lang w:val="ru"/>
        </w:rPr>
        <w:tab/>
        <w:t>Цель обмена данными о животных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Целью является установление прямого, надежного, простого и рентабельного обмена большими массивами данных в обе стороны: между оборудованием и внешними информационными системами и от оборудования к внешним инфор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мационным системам.</w:t>
      </w:r>
    </w:p>
    <w:p w:rsidR="00D02F96" w:rsidRPr="00601EF4" w:rsidRDefault="00C8577A" w:rsidP="005B4D28">
      <w:pPr>
        <w:pStyle w:val="12"/>
        <w:rPr>
          <w:lang w:val="ru-RU"/>
        </w:rPr>
      </w:pPr>
      <w:r w:rsidRPr="00601EF4">
        <w:rPr>
          <w:lang w:val="ru"/>
        </w:rPr>
        <w:t>5.3</w:t>
      </w:r>
      <w:r w:rsidRPr="00601EF4">
        <w:rPr>
          <w:lang w:val="ru"/>
        </w:rPr>
        <w:tab/>
        <w:t>Как достичь этих целей</w:t>
      </w:r>
    </w:p>
    <w:p w:rsidR="00D02F96" w:rsidRPr="00601EF4" w:rsidRDefault="00C8577A" w:rsidP="005B4D28">
      <w:pPr>
        <w:pStyle w:val="13"/>
        <w:rPr>
          <w:lang w:val="ru-RU"/>
        </w:rPr>
      </w:pPr>
      <w:r w:rsidRPr="00601EF4">
        <w:rPr>
          <w:lang w:val="ru"/>
        </w:rPr>
        <w:t>5.3.1</w:t>
      </w:r>
      <w:r w:rsidRPr="00601EF4">
        <w:rPr>
          <w:lang w:val="ru"/>
        </w:rPr>
        <w:tab/>
        <w:t>Содержание ADE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Данная цель может быть достигнута с помощью структуры, состоящей из: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а.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архитектуры, поддерживающей обмен данными;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б.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стандартов для сообщений и данных;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в.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 xml:space="preserve">инструментов, способствующих их 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внедрению;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г.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реактивного процесса обслуживания.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Эта архитектура основывается на подходе. ориентированном на сервис; оборудование является клиентом внешней информационной системы, которая выступает в качестве поставщика сервиса (см. Рисунок 2) Внедрение та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кой архитектуры возможно с помощью различных информационных технологий, которые описаны в настоящем документе.</w:t>
      </w:r>
    </w:p>
    <w:p w:rsidR="00CF4028" w:rsidRPr="00601EF4" w:rsidRDefault="00C8577A" w:rsidP="005B4D28">
      <w:pPr>
        <w:pStyle w:val="1fig"/>
      </w:pPr>
      <w:r w:rsidRPr="00601EF4">
        <w:rPr>
          <w:noProof/>
          <w:lang w:bidi="ar-SA"/>
        </w:rPr>
        <w:drawing>
          <wp:inline distT="0" distB="0" distL="0" distR="0">
            <wp:extent cx="3352800" cy="740410"/>
            <wp:effectExtent l="0" t="0" r="0" b="0"/>
            <wp:docPr id="40" name="Picut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697418" name="Picture 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"/>
        <w:tblW w:w="9073" w:type="dxa"/>
        <w:tblLayout w:type="fixed"/>
        <w:tblLook w:val="04A0" w:firstRow="1" w:lastRow="0" w:firstColumn="1" w:lastColumn="0" w:noHBand="0" w:noVBand="1"/>
      </w:tblPr>
      <w:tblGrid>
        <w:gridCol w:w="4536"/>
        <w:gridCol w:w="4537"/>
      </w:tblGrid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Equipment (Client)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Оборудование (Клиент)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Request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Запрос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Response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Отклик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Information system (Provider)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Информационная система (Поставщик)</w:t>
            </w:r>
          </w:p>
        </w:tc>
      </w:tr>
    </w:tbl>
    <w:p w:rsidR="00D02F96" w:rsidRPr="00601EF4" w:rsidRDefault="00C8577A" w:rsidP="005B4D28">
      <w:pPr>
        <w:pStyle w:val="a9"/>
        <w:shd w:val="clear" w:color="auto" w:fill="auto"/>
        <w:spacing w:after="12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Рисунок 2. Архитектура обмена данными о животных</w:t>
      </w:r>
    </w:p>
    <w:p w:rsidR="00037615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Стандарты содержат: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а.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Коммерческие требования к использованию сервиса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б.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Коммерческие требования к предоставлению сервиса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в.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Коммерческие требования к обмениваемым данным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г.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Семантическое определение обмени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ваемых данных, а также набор их кодов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д.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Спецификации синтаксиса обмениваемых данных в соответствии с W3C, UNCEFACT и ISO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е.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Спецификации интерфейса в соответствии с W3C, UNCEFACT и ISO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Инструменты, способствующие внедрению: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а.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Веб-сайт, с которого ведется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 xml:space="preserve"> загрузка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-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Файлы типов данных xml (XSD-файлы)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lastRenderedPageBreak/>
        <w:t>-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Файлы спецификаций веб-сервиса (WSDL-файлы)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б.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Тестовая платформа</w:t>
      </w:r>
    </w:p>
    <w:p w:rsidR="00D02F96" w:rsidRPr="00601EF4" w:rsidRDefault="00C8577A" w:rsidP="005B4D28">
      <w:pPr>
        <w:pStyle w:val="13"/>
        <w:rPr>
          <w:lang w:val="ru-RU"/>
        </w:rPr>
      </w:pPr>
      <w:r w:rsidRPr="00601EF4">
        <w:rPr>
          <w:lang w:val="ru"/>
        </w:rPr>
        <w:t>5.3.2</w:t>
      </w:r>
      <w:r w:rsidRPr="00601EF4">
        <w:rPr>
          <w:lang w:val="ru"/>
        </w:rPr>
        <w:tab/>
        <w:t>Внедрение ADE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Процесс представлен на Рисунке 3.</w:t>
      </w:r>
    </w:p>
    <w:p w:rsidR="00CF4028" w:rsidRPr="00601EF4" w:rsidRDefault="00C8577A" w:rsidP="005B4D28">
      <w:pPr>
        <w:pStyle w:val="1fig"/>
      </w:pPr>
      <w:r w:rsidRPr="00601EF4">
        <w:rPr>
          <w:noProof/>
          <w:lang w:bidi="ar-SA"/>
        </w:rPr>
        <w:drawing>
          <wp:inline distT="0" distB="0" distL="0" distR="0">
            <wp:extent cx="4611370" cy="3542030"/>
            <wp:effectExtent l="0" t="0" r="0" b="0"/>
            <wp:docPr id="41" name="Picut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41006" name="Picture 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1370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"/>
        <w:tblW w:w="9073" w:type="dxa"/>
        <w:tblLayout w:type="fixed"/>
        <w:tblLook w:val="04A0" w:firstRow="1" w:lastRow="0" w:firstColumn="1" w:lastColumn="0" w:noHBand="0" w:noVBand="1"/>
      </w:tblPr>
      <w:tblGrid>
        <w:gridCol w:w="4536"/>
        <w:gridCol w:w="4537"/>
      </w:tblGrid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Business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Бизнес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Business requirements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Коммерческие требования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XML Implementation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Применение XML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Data technical specification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Технические спецификации данных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Alternative Protocols (upcoming)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  <w:lang w:val="ru-RU"/>
              </w:rPr>
            </w:pPr>
            <w:r w:rsidRPr="00601EF4">
              <w:rPr>
                <w:sz w:val="20"/>
                <w:szCs w:val="20"/>
                <w:lang w:val="ru"/>
              </w:rPr>
              <w:t>Альтернативные протоколы (планируются к выпуску)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Data technical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Технические данные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Service technical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Технические сервисы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Manufactu rer client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Производитель — клиент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Data base service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Сервис базы данных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601EF4" w:rsidP="000D2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Manufactu</w:t>
            </w:r>
            <w:r w:rsidR="00C8577A" w:rsidRPr="00601EF4">
              <w:rPr>
                <w:sz w:val="20"/>
                <w:szCs w:val="20"/>
              </w:rPr>
              <w:t>rer client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Производитель — клиент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Data base service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Сервис базы данных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Operational data exchange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Оперативный обмен данными</w:t>
            </w:r>
          </w:p>
        </w:tc>
      </w:tr>
    </w:tbl>
    <w:p w:rsidR="00D02F96" w:rsidRPr="00601EF4" w:rsidRDefault="00C8577A" w:rsidP="005B4D28">
      <w:pPr>
        <w:pStyle w:val="a9"/>
        <w:shd w:val="clear" w:color="auto" w:fill="auto"/>
        <w:spacing w:after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Рисунок 3. Жизненный цикл структуры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 xml:space="preserve">Процесс запускается в 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случае коммерческой необходимости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Коммерческие требования должны совместно формироваться ICAR и производителями. Они не зависят от методик, которые используются для их внедрения.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Рассматриваются два типа исполнения: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а.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Стандарты W3C и UNCEFACT (основной);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б.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ISO (17532:2007) / REST (планируемые альтернативы).</w:t>
      </w:r>
    </w:p>
    <w:p w:rsidR="00037615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Исполнение W3C включает: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lastRenderedPageBreak/>
        <w:t>а.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Техническое описание элементов данных в виде xsd-файлов на основе типов данных UNCEFACT.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б.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Технические спецификации интерфейса в виде wsdl-файлов.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в.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От WSDL: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-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 xml:space="preserve">Внедрение 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производителем для клиента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-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Внедрение внешней информационной системой на сервере</w:t>
      </w:r>
    </w:p>
    <w:p w:rsidR="00D02F96" w:rsidRPr="00601EF4" w:rsidRDefault="00C8577A" w:rsidP="005B4D28">
      <w:pPr>
        <w:pStyle w:val="12"/>
        <w:rPr>
          <w:lang w:val="ru-RU"/>
        </w:rPr>
      </w:pPr>
      <w:r w:rsidRPr="00601EF4">
        <w:rPr>
          <w:lang w:val="ru"/>
        </w:rPr>
        <w:t>5.4</w:t>
      </w:r>
      <w:r w:rsidRPr="00601EF4">
        <w:rPr>
          <w:lang w:val="ru"/>
        </w:rPr>
        <w:tab/>
        <w:t>Коммерческий контекст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На Рисунке 4 представлен коммерческий контекст.</w:t>
      </w:r>
    </w:p>
    <w:p w:rsidR="00CF4028" w:rsidRPr="00601EF4" w:rsidRDefault="00C8577A" w:rsidP="005B4D28">
      <w:pPr>
        <w:pStyle w:val="1fig"/>
      </w:pPr>
      <w:r w:rsidRPr="00601EF4">
        <w:rPr>
          <w:noProof/>
          <w:lang w:bidi="ar-SA"/>
        </w:rPr>
        <w:drawing>
          <wp:inline distT="0" distB="0" distL="0" distR="0">
            <wp:extent cx="4758055" cy="1337945"/>
            <wp:effectExtent l="0" t="0" r="0" b="0"/>
            <wp:docPr id="42" name="Picut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655666" name="Picture 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805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"/>
        <w:tblW w:w="9073" w:type="dxa"/>
        <w:tblLayout w:type="fixed"/>
        <w:tblLook w:val="04A0" w:firstRow="1" w:lastRow="0" w:firstColumn="1" w:lastColumn="0" w:noHBand="0" w:noVBand="1"/>
      </w:tblPr>
      <w:tblGrid>
        <w:gridCol w:w="4536"/>
        <w:gridCol w:w="4537"/>
      </w:tblGrid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Milking equipment owner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  <w:lang w:val="ru-RU"/>
              </w:rPr>
            </w:pPr>
            <w:r w:rsidRPr="00601EF4">
              <w:rPr>
                <w:sz w:val="20"/>
                <w:szCs w:val="20"/>
                <w:lang w:val="ru"/>
              </w:rPr>
              <w:t>Владелец оборудования для производства молока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Agreement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Соглашение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Milking operator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Оператор производства молока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Milking equipment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Оборудование для производства молока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Service provider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Поставщик услуги (сервиса)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Milk analysis laboratory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Лаборатория анализа молока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Data exchange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Обмен данными</w:t>
            </w:r>
          </w:p>
        </w:tc>
      </w:tr>
      <w:tr w:rsidR="000628FC" w:rsidRPr="00601EF4" w:rsidTr="000D2BA7">
        <w:tc>
          <w:tcPr>
            <w:tcW w:w="4536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</w:rPr>
              <w:t>Information system</w:t>
            </w:r>
          </w:p>
        </w:tc>
        <w:tc>
          <w:tcPr>
            <w:tcW w:w="4537" w:type="dxa"/>
          </w:tcPr>
          <w:p w:rsidR="00CF4028" w:rsidRPr="00601EF4" w:rsidRDefault="00C8577A" w:rsidP="000D2BA7">
            <w:pPr>
              <w:rPr>
                <w:sz w:val="20"/>
                <w:szCs w:val="20"/>
              </w:rPr>
            </w:pPr>
            <w:r w:rsidRPr="00601EF4">
              <w:rPr>
                <w:sz w:val="20"/>
                <w:szCs w:val="20"/>
                <w:lang w:val="ru"/>
              </w:rPr>
              <w:t>Информа</w:t>
            </w:r>
            <w:r w:rsidRPr="00601EF4">
              <w:rPr>
                <w:sz w:val="20"/>
                <w:szCs w:val="20"/>
                <w:lang w:val="ru"/>
              </w:rPr>
              <w:t>ционная система</w:t>
            </w:r>
          </w:p>
        </w:tc>
      </w:tr>
    </w:tbl>
    <w:p w:rsidR="00D02F96" w:rsidRPr="00601EF4" w:rsidRDefault="00C8577A" w:rsidP="005B4D28">
      <w:pPr>
        <w:pStyle w:val="a9"/>
        <w:shd w:val="clear" w:color="auto" w:fill="auto"/>
        <w:spacing w:after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Рисунок 4. Общий коммерческий контекст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Поставщики услуг — организации, предоставляющие услуги владельцам оборудования для производства молока в следующих целях: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а.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регистрация данных в многофункциональных базах данных, а также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б.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предоставление агрегированной информации.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Эти организации могут заниматься учетом производства молока, разведением животных или поставлять иные услуги, предусматривающие использование баз данных.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 xml:space="preserve">Владелец оборудования для производства молока и поставщик 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услуг должны договориться об условиях использования услуг (а именно, о параметрах, необходимых для обмена данными). Обычно такое соглашение формализуется контрактом.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Оборудование для производства молока представляет собой набор аппаратных и программных сре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дств, который обеспечивает выполнение следующего минимального набора функций: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а.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Измерение количества и характеристик молока.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б.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Наполнение бутылок образцами молока и регистрация связи между идентификатором бутылки и идентификатором животного.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в.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Сохранени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е результатов доения.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г.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 xml:space="preserve">Подключение, отправка и получение данных из внешних информационных 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lastRenderedPageBreak/>
        <w:t>систем.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Оборудование для производства молока может иметь несколько функций, которые не учитываются при таком обмене данными (мониторинг животных, мониторинг доения)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. Однако можно передавать характеристики, непосредственно не связанные с доением, но регистрируемые в процессе производства молока (например, взвешивание в контейнере для молока).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Система производства молока может координироваться с различными типами обору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дования (роботами, электронными датчиками доения и т. д).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Оборудование для производства молока работает под контролем оператора производства молока, который входит в штат владельца и в данном документе обозначается в качестве «Оператора». Оператор производ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ства молока имеет право и возможность: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а.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вводить в оборудование для производства молока параметры обмена данными и характеристики образцов молока;</w:t>
      </w:r>
    </w:p>
    <w:p w:rsidR="00037615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б.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устанавливать и удалять бутылки для образцов молока;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в.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посылать образцы молока в лабораторию для анализа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Оператор оборудования для производства молока может соответствовать различным лицам: он может быть владельцем фермы, находиться в штате фермера, быть техником поставщика услуг (например, организации по регистрации молока и т. д).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Поставщик работает в инф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ормационной системе, которая предоставляет различные сервисы. Такая информационная система состоит из сервера, баз данных и программного обеспечения, которые не являются частью оборудования для производства молока и которые соединены с оборудованием для пр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оизводства молока с помощью сети. Эта система обладает следующими функциями: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а.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Получение и обработка запросов от системы производства молока.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б.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Обновление базы данных информационной системы в соответствии с результатами системы производства молока.</w:t>
      </w:r>
    </w:p>
    <w:p w:rsidR="00D02F96" w:rsidRPr="00601EF4" w:rsidRDefault="00C8577A" w:rsidP="005B4D28">
      <w:pPr>
        <w:pStyle w:val="11"/>
        <w:shd w:val="clear" w:color="auto" w:fill="auto"/>
        <w:spacing w:after="120"/>
        <w:ind w:left="709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в.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ab/>
        <w:t>Пр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едоставление результатов лабораторий по анализу молока, которые анализируют пробы, собранные при помощи оборудования.</w:t>
      </w:r>
    </w:p>
    <w:p w:rsidR="00D02F96" w:rsidRPr="00601EF4" w:rsidRDefault="00C8577A" w:rsidP="005B4D28">
      <w:pPr>
        <w:pStyle w:val="110"/>
      </w:pPr>
      <w:bookmarkStart w:id="6" w:name="bookmark29"/>
      <w:r w:rsidRPr="00601EF4">
        <w:rPr>
          <w:lang w:val="ru"/>
        </w:rPr>
        <w:t>6</w:t>
      </w:r>
      <w:r w:rsidRPr="00601EF4">
        <w:rPr>
          <w:lang w:val="ru"/>
        </w:rPr>
        <w:tab/>
        <w:t>Общие спецификации</w:t>
      </w:r>
      <w:bookmarkEnd w:id="6"/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 xml:space="preserve">Общие спецификации описаны в Процедуре 1 настоящего Раздела 15 Руководства ICAR — </w:t>
      </w:r>
      <w:hyperlink r:id="rId14" w:history="1">
        <w:r w:rsidRPr="00601EF4">
          <w:rPr>
            <w:rStyle w:val="aa"/>
            <w:rFonts w:ascii="Times New Roman" w:hAnsi="Times New Roman" w:cs="Times New Roman"/>
            <w:color w:val="0000FF"/>
            <w:sz w:val="24"/>
            <w:szCs w:val="24"/>
            <w:lang w:val="ru"/>
          </w:rPr>
          <w:t>ссылка</w:t>
        </w:r>
      </w:hyperlink>
      <w:r w:rsidRPr="00601EF4">
        <w:rPr>
          <w:rFonts w:ascii="Times New Roman" w:hAnsi="Times New Roman" w:cs="Times New Roman"/>
          <w:color w:val="0000FF"/>
          <w:sz w:val="24"/>
          <w:szCs w:val="24"/>
          <w:lang w:val="ru"/>
        </w:rPr>
        <w:t>.</w:t>
      </w:r>
    </w:p>
    <w:p w:rsidR="00D02F96" w:rsidRPr="00601EF4" w:rsidRDefault="00C8577A" w:rsidP="005B4D28">
      <w:pPr>
        <w:pStyle w:val="110"/>
      </w:pPr>
      <w:bookmarkStart w:id="7" w:name="bookmark30"/>
      <w:r w:rsidRPr="00601EF4">
        <w:rPr>
          <w:lang w:val="ru"/>
        </w:rPr>
        <w:t>7</w:t>
      </w:r>
      <w:r w:rsidRPr="00601EF4">
        <w:rPr>
          <w:lang w:val="ru"/>
        </w:rPr>
        <w:tab/>
        <w:t>Специальные сервисы</w:t>
      </w:r>
      <w:bookmarkEnd w:id="7"/>
    </w:p>
    <w:p w:rsidR="00D02F96" w:rsidRPr="00601EF4" w:rsidRDefault="00C8577A" w:rsidP="005B4D28">
      <w:pPr>
        <w:pStyle w:val="12"/>
        <w:rPr>
          <w:lang w:val="ru-RU"/>
        </w:rPr>
      </w:pPr>
      <w:r w:rsidRPr="00601EF4">
        <w:rPr>
          <w:lang w:val="ru"/>
        </w:rPr>
        <w:t>7.1</w:t>
      </w:r>
      <w:r w:rsidRPr="00601EF4">
        <w:rPr>
          <w:lang w:val="ru"/>
        </w:rPr>
        <w:tab/>
        <w:t>Производство молока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 xml:space="preserve">Спецификации сервисов для производства молока описаны в Процедуре 2 настоящего Раздела 15 Руководства ICAR — </w:t>
      </w:r>
      <w:hyperlink r:id="rId15" w:history="1">
        <w:r w:rsidRPr="00601EF4">
          <w:rPr>
            <w:rStyle w:val="aa"/>
            <w:rFonts w:ascii="Times New Roman" w:hAnsi="Times New Roman" w:cs="Times New Roman"/>
            <w:color w:val="0000FF"/>
            <w:sz w:val="24"/>
            <w:szCs w:val="24"/>
            <w:lang w:val="ru"/>
          </w:rPr>
          <w:t>ссылка</w:t>
        </w:r>
      </w:hyperlink>
      <w:r w:rsidRPr="00601EF4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D02F96" w:rsidRPr="00601EF4" w:rsidRDefault="00C8577A" w:rsidP="005B4D28">
      <w:pPr>
        <w:pStyle w:val="12"/>
        <w:rPr>
          <w:lang w:val="ru-RU"/>
        </w:rPr>
      </w:pPr>
      <w:r w:rsidRPr="00601EF4">
        <w:rPr>
          <w:lang w:val="ru"/>
        </w:rPr>
        <w:t>7.2</w:t>
      </w:r>
      <w:r w:rsidRPr="00601EF4">
        <w:rPr>
          <w:lang w:val="ru"/>
        </w:rPr>
        <w:tab/>
        <w:t>Обмен данными о животных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 xml:space="preserve">Спецификации сервисов для обмена данными о животных содержатся в Процедуре 3 настоящего Раздела 15 Руководства ICAR — </w:t>
      </w:r>
      <w:r w:rsidRPr="00601EF4">
        <w:rPr>
          <w:rFonts w:ascii="Times New Roman" w:hAnsi="Times New Roman" w:cs="Times New Roman"/>
          <w:sz w:val="24"/>
          <w:szCs w:val="24"/>
          <w:u w:val="single"/>
          <w:lang w:val="ru"/>
        </w:rPr>
        <w:t>ссылка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D02F96" w:rsidRPr="00601EF4" w:rsidRDefault="00C8577A" w:rsidP="005B4D28">
      <w:pPr>
        <w:pStyle w:val="12"/>
        <w:rPr>
          <w:lang w:val="ru-RU"/>
        </w:rPr>
      </w:pPr>
      <w:r w:rsidRPr="00601EF4">
        <w:rPr>
          <w:lang w:val="ru"/>
        </w:rPr>
        <w:lastRenderedPageBreak/>
        <w:t>7.3</w:t>
      </w:r>
      <w:r w:rsidRPr="00601EF4">
        <w:rPr>
          <w:lang w:val="ru"/>
        </w:rPr>
        <w:tab/>
        <w:t xml:space="preserve">Обмен </w:t>
      </w:r>
      <w:r w:rsidRPr="00601EF4">
        <w:rPr>
          <w:lang w:val="ru"/>
        </w:rPr>
        <w:t>событиями воспроизводства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 xml:space="preserve">Спецификации сервисов для обмена данными о животных содержатся в Процедуре 4 настоящего Раздела 15 Руководства ICAR — </w:t>
      </w:r>
      <w:hyperlink r:id="rId16" w:history="1">
        <w:r w:rsidRPr="00601EF4">
          <w:rPr>
            <w:rStyle w:val="aa"/>
            <w:rFonts w:ascii="Times New Roman" w:hAnsi="Times New Roman" w:cs="Times New Roman"/>
            <w:color w:val="0000FF"/>
            <w:sz w:val="24"/>
            <w:szCs w:val="24"/>
            <w:lang w:val="ru"/>
          </w:rPr>
          <w:t>ссылка</w:t>
        </w:r>
      </w:hyperlink>
      <w:r w:rsidRPr="00601EF4">
        <w:rPr>
          <w:rFonts w:ascii="Times New Roman" w:hAnsi="Times New Roman" w:cs="Times New Roman"/>
          <w:color w:val="0000FF"/>
          <w:sz w:val="24"/>
          <w:szCs w:val="24"/>
          <w:lang w:val="ru"/>
        </w:rPr>
        <w:t>.</w:t>
      </w:r>
    </w:p>
    <w:p w:rsidR="00D02F96" w:rsidRPr="00601EF4" w:rsidRDefault="00C8577A" w:rsidP="005B4D28">
      <w:pPr>
        <w:pStyle w:val="12"/>
        <w:rPr>
          <w:lang w:val="ru-RU"/>
        </w:rPr>
      </w:pPr>
      <w:r w:rsidRPr="00601EF4">
        <w:rPr>
          <w:lang w:val="ru"/>
        </w:rPr>
        <w:t>7.4</w:t>
      </w:r>
      <w:r w:rsidRPr="00601EF4">
        <w:rPr>
          <w:lang w:val="ru"/>
        </w:rPr>
        <w:tab/>
        <w:t>Технические сер</w:t>
      </w:r>
      <w:r w:rsidRPr="00601EF4">
        <w:rPr>
          <w:lang w:val="ru"/>
        </w:rPr>
        <w:t>висы</w:t>
      </w:r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 xml:space="preserve">Спецификации для обмена техническими сервисами содержатся в Процедуре 5 настоящего Раздела 15 Руководства ICAR — </w:t>
      </w:r>
      <w:hyperlink r:id="rId17" w:history="1">
        <w:r w:rsidRPr="00601EF4">
          <w:rPr>
            <w:rStyle w:val="aa"/>
            <w:rFonts w:ascii="Times New Roman" w:hAnsi="Times New Roman" w:cs="Times New Roman"/>
            <w:color w:val="0000FF"/>
            <w:sz w:val="24"/>
            <w:szCs w:val="24"/>
            <w:lang w:val="ru"/>
          </w:rPr>
          <w:t>ссылка</w:t>
        </w:r>
      </w:hyperlink>
      <w:r w:rsidRPr="00601EF4">
        <w:rPr>
          <w:rFonts w:ascii="Times New Roman" w:hAnsi="Times New Roman" w:cs="Times New Roman"/>
          <w:color w:val="0000FF"/>
          <w:sz w:val="24"/>
          <w:szCs w:val="24"/>
          <w:lang w:val="ru"/>
        </w:rPr>
        <w:t>.</w:t>
      </w:r>
    </w:p>
    <w:p w:rsidR="00D02F96" w:rsidRPr="00601EF4" w:rsidRDefault="00C8577A" w:rsidP="005B4D28">
      <w:pPr>
        <w:pStyle w:val="110"/>
      </w:pPr>
      <w:bookmarkStart w:id="8" w:name="bookmark31"/>
      <w:r w:rsidRPr="00601EF4">
        <w:rPr>
          <w:lang w:val="ru"/>
        </w:rPr>
        <w:t>8</w:t>
      </w:r>
      <w:r w:rsidRPr="00601EF4">
        <w:rPr>
          <w:lang w:val="ru"/>
        </w:rPr>
        <w:tab/>
        <w:t>Словарь данных</w:t>
      </w:r>
      <w:bookmarkEnd w:id="8"/>
    </w:p>
    <w:p w:rsidR="00D02F96" w:rsidRPr="00601EF4" w:rsidRDefault="00C8577A" w:rsidP="0068740E">
      <w:pPr>
        <w:pStyle w:val="11"/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EF4">
        <w:rPr>
          <w:rFonts w:ascii="Times New Roman" w:hAnsi="Times New Roman" w:cs="Times New Roman"/>
          <w:sz w:val="24"/>
          <w:szCs w:val="24"/>
          <w:lang w:val="ru"/>
        </w:rPr>
        <w:t>Словарь данных приведен в Прило</w:t>
      </w:r>
      <w:r w:rsidRPr="00601EF4">
        <w:rPr>
          <w:rFonts w:ascii="Times New Roman" w:hAnsi="Times New Roman" w:cs="Times New Roman"/>
          <w:sz w:val="24"/>
          <w:szCs w:val="24"/>
          <w:lang w:val="ru"/>
        </w:rPr>
        <w:t xml:space="preserve">жении А к настоящему Разделу 15 Руководства ICAR — </w:t>
      </w:r>
      <w:hyperlink r:id="rId18" w:history="1">
        <w:r w:rsidRPr="00601EF4">
          <w:rPr>
            <w:rStyle w:val="aa"/>
            <w:rFonts w:ascii="Times New Roman" w:hAnsi="Times New Roman" w:cs="Times New Roman"/>
            <w:color w:val="0000FF"/>
            <w:sz w:val="24"/>
            <w:szCs w:val="24"/>
            <w:lang w:val="ru"/>
          </w:rPr>
          <w:t>ссылка</w:t>
        </w:r>
      </w:hyperlink>
      <w:r w:rsidRPr="00601EF4">
        <w:rPr>
          <w:rFonts w:ascii="Times New Roman" w:hAnsi="Times New Roman" w:cs="Times New Roman"/>
          <w:color w:val="0000FF"/>
          <w:sz w:val="24"/>
          <w:szCs w:val="24"/>
          <w:lang w:val="ru"/>
        </w:rPr>
        <w:t>.</w:t>
      </w:r>
    </w:p>
    <w:p w:rsidR="00D02F96" w:rsidRPr="00601EF4" w:rsidRDefault="00C8577A" w:rsidP="005B4D28">
      <w:pPr>
        <w:pStyle w:val="110"/>
      </w:pPr>
      <w:bookmarkStart w:id="9" w:name="bookmark32"/>
      <w:r w:rsidRPr="00601EF4">
        <w:rPr>
          <w:lang w:val="ru"/>
        </w:rPr>
        <w:t>9</w:t>
      </w:r>
      <w:r w:rsidRPr="00601EF4">
        <w:rPr>
          <w:lang w:val="ru"/>
        </w:rPr>
        <w:tab/>
        <w:t>Список литературы</w:t>
      </w:r>
      <w:bookmarkEnd w:id="9"/>
    </w:p>
    <w:p w:rsidR="00D02F96" w:rsidRPr="00601EF4" w:rsidRDefault="00C8577A" w:rsidP="005B4D28">
      <w:pPr>
        <w:pStyle w:val="80"/>
        <w:shd w:val="clear" w:color="auto" w:fill="auto"/>
        <w:spacing w:after="120"/>
        <w:ind w:left="851" w:hanging="426"/>
        <w:rPr>
          <w:sz w:val="24"/>
          <w:szCs w:val="24"/>
          <w:lang w:val="ru-RU"/>
        </w:rPr>
      </w:pPr>
      <w:r w:rsidRPr="00601EF4">
        <w:rPr>
          <w:sz w:val="24"/>
          <w:szCs w:val="24"/>
          <w:lang w:val="ru"/>
        </w:rPr>
        <w:t>1.</w:t>
      </w:r>
      <w:r w:rsidRPr="00601EF4">
        <w:rPr>
          <w:sz w:val="24"/>
          <w:szCs w:val="24"/>
          <w:lang w:val="ru"/>
        </w:rPr>
        <w:tab/>
        <w:t>Семантика интеллектуального управления молочной фермой: стандарт регистрации производства мо</w:t>
      </w:r>
      <w:r w:rsidRPr="00601EF4">
        <w:rPr>
          <w:sz w:val="24"/>
          <w:szCs w:val="24"/>
          <w:lang w:val="ru"/>
        </w:rPr>
        <w:t>лока — SDF, июнь 2013 г.</w:t>
      </w:r>
    </w:p>
    <w:p w:rsidR="00D02F96" w:rsidRPr="00601EF4" w:rsidRDefault="00C8577A" w:rsidP="005B4D28">
      <w:pPr>
        <w:pStyle w:val="80"/>
        <w:shd w:val="clear" w:color="auto" w:fill="auto"/>
        <w:spacing w:after="120"/>
        <w:ind w:left="851" w:hanging="426"/>
        <w:rPr>
          <w:sz w:val="24"/>
          <w:szCs w:val="24"/>
          <w:lang w:val="ru-RU"/>
        </w:rPr>
      </w:pPr>
      <w:r w:rsidRPr="00601EF4">
        <w:rPr>
          <w:sz w:val="24"/>
          <w:szCs w:val="24"/>
          <w:lang w:val="ru"/>
        </w:rPr>
        <w:t>2.</w:t>
      </w:r>
      <w:r w:rsidRPr="00601EF4">
        <w:rPr>
          <w:sz w:val="24"/>
          <w:szCs w:val="24"/>
          <w:lang w:val="ru"/>
        </w:rPr>
        <w:tab/>
        <w:t>Руководство пользователя UN/UNCEFACT по методологии моделирования (CEFACT/TMG/N093)</w:t>
      </w:r>
    </w:p>
    <w:p w:rsidR="00037615" w:rsidRPr="00601EF4" w:rsidRDefault="00C8577A" w:rsidP="005B4D28">
      <w:pPr>
        <w:pStyle w:val="80"/>
        <w:shd w:val="clear" w:color="auto" w:fill="auto"/>
        <w:spacing w:after="120"/>
        <w:ind w:left="851" w:hanging="426"/>
        <w:rPr>
          <w:sz w:val="24"/>
          <w:szCs w:val="24"/>
          <w:lang w:val="ru-RU"/>
        </w:rPr>
      </w:pPr>
      <w:r w:rsidRPr="00601EF4">
        <w:rPr>
          <w:sz w:val="24"/>
          <w:szCs w:val="24"/>
          <w:lang w:val="ru"/>
        </w:rPr>
        <w:t>3.</w:t>
      </w:r>
      <w:r w:rsidRPr="00601EF4">
        <w:rPr>
          <w:sz w:val="24"/>
          <w:szCs w:val="24"/>
          <w:lang w:val="ru"/>
        </w:rPr>
        <w:tab/>
        <w:t>Шаблон документа спецификаций бизнес-требований UN/UNCEFACT (CEFECT/ICG/005)</w:t>
      </w:r>
    </w:p>
    <w:p w:rsidR="00D02F96" w:rsidRPr="00601EF4" w:rsidRDefault="00C8577A" w:rsidP="005B4D28">
      <w:pPr>
        <w:pStyle w:val="80"/>
        <w:shd w:val="clear" w:color="auto" w:fill="auto"/>
        <w:spacing w:after="120"/>
        <w:ind w:left="851" w:hanging="426"/>
        <w:rPr>
          <w:sz w:val="24"/>
          <w:szCs w:val="24"/>
          <w:lang w:val="ru-RU"/>
        </w:rPr>
      </w:pPr>
      <w:r w:rsidRPr="00601EF4">
        <w:rPr>
          <w:sz w:val="24"/>
          <w:szCs w:val="24"/>
          <w:lang w:val="ru" w:eastAsia="de-DE" w:bidi="de-DE"/>
        </w:rPr>
        <w:t>4.</w:t>
      </w:r>
      <w:r w:rsidRPr="00601EF4">
        <w:rPr>
          <w:sz w:val="24"/>
          <w:szCs w:val="24"/>
          <w:lang w:val="ru" w:eastAsia="de-DE" w:bidi="de-DE"/>
        </w:rPr>
        <w:tab/>
        <w:t xml:space="preserve">ISO 11787: Электронный обмен данными между информационными </w:t>
      </w:r>
      <w:r w:rsidRPr="00601EF4">
        <w:rPr>
          <w:sz w:val="24"/>
          <w:szCs w:val="24"/>
          <w:lang w:val="ru" w:eastAsia="de-DE" w:bidi="de-DE"/>
        </w:rPr>
        <w:t>системами в области сельского хозяйства — Синтаксис обмена сельскохозяйственными данными</w:t>
      </w:r>
    </w:p>
    <w:p w:rsidR="00D02F96" w:rsidRPr="00601EF4" w:rsidRDefault="00C8577A" w:rsidP="005B4D28">
      <w:pPr>
        <w:pStyle w:val="80"/>
        <w:shd w:val="clear" w:color="auto" w:fill="auto"/>
        <w:spacing w:after="120"/>
        <w:ind w:left="851" w:hanging="426"/>
        <w:rPr>
          <w:sz w:val="24"/>
          <w:szCs w:val="24"/>
          <w:lang w:val="ru-RU"/>
        </w:rPr>
      </w:pPr>
      <w:r w:rsidRPr="00601EF4">
        <w:rPr>
          <w:sz w:val="24"/>
          <w:szCs w:val="24"/>
          <w:lang w:val="ru"/>
        </w:rPr>
        <w:t>5.</w:t>
      </w:r>
      <w:r w:rsidRPr="00601EF4">
        <w:rPr>
          <w:sz w:val="24"/>
          <w:szCs w:val="24"/>
          <w:lang w:val="ru"/>
        </w:rPr>
        <w:tab/>
        <w:t xml:space="preserve">ISO 11788: Электронный обмен данными между информационными системами в области сельского хозяйства — Словарь элементов сельскохозяйственных данных — Часть 1: Общее </w:t>
      </w:r>
      <w:r w:rsidRPr="00601EF4">
        <w:rPr>
          <w:sz w:val="24"/>
          <w:szCs w:val="24"/>
          <w:lang w:val="ru"/>
        </w:rPr>
        <w:t>описание — Часть 2: Молочные фермы</w:t>
      </w:r>
    </w:p>
    <w:p w:rsidR="00D02F96" w:rsidRPr="00601EF4" w:rsidRDefault="00C8577A" w:rsidP="005B4D28">
      <w:pPr>
        <w:pStyle w:val="80"/>
        <w:shd w:val="clear" w:color="auto" w:fill="auto"/>
        <w:spacing w:after="120"/>
        <w:ind w:left="851" w:hanging="426"/>
        <w:rPr>
          <w:sz w:val="24"/>
          <w:szCs w:val="24"/>
          <w:lang w:val="ru-RU"/>
        </w:rPr>
      </w:pPr>
      <w:r w:rsidRPr="00601EF4">
        <w:rPr>
          <w:sz w:val="24"/>
          <w:szCs w:val="24"/>
          <w:lang w:val="ru"/>
        </w:rPr>
        <w:t>6.</w:t>
      </w:r>
      <w:r w:rsidRPr="00601EF4">
        <w:rPr>
          <w:sz w:val="24"/>
          <w:szCs w:val="24"/>
          <w:lang w:val="ru"/>
        </w:rPr>
        <w:tab/>
        <w:t>ISO 17532: Стационарное сельскохозяйственное оборудование — Сеть для обмена данными животноводческих ферм</w:t>
      </w:r>
    </w:p>
    <w:p w:rsidR="00D02F96" w:rsidRPr="00601EF4" w:rsidRDefault="00C8577A" w:rsidP="005B4D28">
      <w:pPr>
        <w:pStyle w:val="80"/>
        <w:shd w:val="clear" w:color="auto" w:fill="auto"/>
        <w:spacing w:after="120"/>
        <w:ind w:left="851" w:hanging="426"/>
        <w:rPr>
          <w:sz w:val="24"/>
          <w:szCs w:val="24"/>
          <w:lang w:val="ru-RU"/>
        </w:rPr>
      </w:pPr>
      <w:r w:rsidRPr="00601EF4">
        <w:rPr>
          <w:sz w:val="24"/>
          <w:szCs w:val="24"/>
          <w:lang w:val="ru"/>
        </w:rPr>
        <w:t>7.</w:t>
      </w:r>
      <w:r w:rsidRPr="00601EF4">
        <w:rPr>
          <w:sz w:val="24"/>
          <w:szCs w:val="24"/>
          <w:lang w:val="ru"/>
        </w:rPr>
        <w:tab/>
        <w:t>ISO 11784: Радиочастотная идентификация животных — структура кода.</w:t>
      </w:r>
    </w:p>
    <w:p w:rsidR="00D02F96" w:rsidRPr="00601EF4" w:rsidRDefault="00C8577A" w:rsidP="005B4D28">
      <w:pPr>
        <w:pStyle w:val="80"/>
        <w:shd w:val="clear" w:color="auto" w:fill="auto"/>
        <w:spacing w:after="120"/>
        <w:ind w:left="851" w:hanging="426"/>
        <w:rPr>
          <w:sz w:val="24"/>
          <w:szCs w:val="24"/>
        </w:rPr>
      </w:pPr>
      <w:r w:rsidRPr="00601EF4">
        <w:rPr>
          <w:sz w:val="24"/>
          <w:szCs w:val="24"/>
          <w:lang w:val="ru"/>
        </w:rPr>
        <w:t>8.</w:t>
      </w:r>
      <w:r w:rsidRPr="00601EF4">
        <w:rPr>
          <w:sz w:val="24"/>
          <w:szCs w:val="24"/>
          <w:lang w:val="ru"/>
        </w:rPr>
        <w:tab/>
        <w:t>ISO 3166-1: Коды стран</w:t>
      </w:r>
    </w:p>
    <w:p w:rsidR="00D02F96" w:rsidRPr="00601EF4" w:rsidRDefault="00C8577A" w:rsidP="005B4D28">
      <w:pPr>
        <w:pStyle w:val="80"/>
        <w:shd w:val="clear" w:color="auto" w:fill="auto"/>
        <w:spacing w:after="120"/>
        <w:ind w:left="851" w:hanging="426"/>
        <w:rPr>
          <w:sz w:val="24"/>
          <w:szCs w:val="24"/>
        </w:rPr>
      </w:pPr>
      <w:r w:rsidRPr="00601EF4">
        <w:rPr>
          <w:sz w:val="24"/>
          <w:szCs w:val="24"/>
          <w:lang w:val="ru"/>
        </w:rPr>
        <w:t>9.</w:t>
      </w:r>
      <w:r w:rsidRPr="00601EF4">
        <w:rPr>
          <w:sz w:val="24"/>
          <w:szCs w:val="24"/>
          <w:lang w:val="ru"/>
        </w:rPr>
        <w:tab/>
        <w:t>Руководство I</w:t>
      </w:r>
      <w:r w:rsidRPr="00601EF4">
        <w:rPr>
          <w:sz w:val="24"/>
          <w:szCs w:val="24"/>
          <w:lang w:val="ru"/>
        </w:rPr>
        <w:t>CAR</w:t>
      </w:r>
    </w:p>
    <w:sectPr w:rsidR="00D02F96" w:rsidRPr="00601EF4" w:rsidSect="001F5950">
      <w:headerReference w:type="default" r:id="rId19"/>
      <w:footerReference w:type="default" r:id="rId20"/>
      <w:pgSz w:w="11909" w:h="16834" w:code="9"/>
      <w:pgMar w:top="1418" w:right="1418" w:bottom="1418" w:left="1418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77A" w:rsidRDefault="00C8577A">
      <w:r>
        <w:separator/>
      </w:r>
    </w:p>
  </w:endnote>
  <w:endnote w:type="continuationSeparator" w:id="0">
    <w:p w:rsidR="00C8577A" w:rsidRDefault="00C8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2F" w:rsidRDefault="0098622F" w:rsidP="0098622F">
    <w:pPr>
      <w:pStyle w:val="ad"/>
    </w:pPr>
  </w:p>
  <w:tbl>
    <w:tblPr>
      <w:tblOverlap w:val="never"/>
      <w:tblW w:w="0" w:type="auto"/>
      <w:tblBorders>
        <w:top w:val="single" w:sz="4" w:space="0" w:color="EB6537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18"/>
      <w:gridCol w:w="8088"/>
    </w:tblGrid>
    <w:tr w:rsidR="000628FC" w:rsidTr="007459A3">
      <w:tc>
        <w:tcPr>
          <w:tcW w:w="1118" w:type="dxa"/>
          <w:shd w:val="clear" w:color="auto" w:fill="FFFFFF"/>
        </w:tcPr>
        <w:p w:rsidR="0098622F" w:rsidRPr="00A912FD" w:rsidRDefault="00C8577A" w:rsidP="0098622F">
          <w:pPr>
            <w:keepNext/>
            <w:keepLines/>
            <w:jc w:val="center"/>
            <w:rPr>
              <w:sz w:val="20"/>
            </w:rPr>
          </w:pPr>
          <w:r w:rsidRPr="00A912FD">
            <w:rPr>
              <w:sz w:val="20"/>
              <w:lang w:val="ru"/>
            </w:rPr>
            <w:t>логотип: /</w:t>
          </w:r>
          <w:r w:rsidRPr="00A912FD">
            <w:rPr>
              <w:b/>
              <w:sz w:val="20"/>
              <w:lang w:val="ru"/>
            </w:rPr>
            <w:t>ICAR</w:t>
          </w:r>
          <w:r w:rsidRPr="00A912FD">
            <w:rPr>
              <w:sz w:val="20"/>
              <w:lang w:val="ru"/>
            </w:rPr>
            <w:t>/</w:t>
          </w:r>
        </w:p>
      </w:tc>
      <w:tc>
        <w:tcPr>
          <w:tcW w:w="8088" w:type="dxa"/>
          <w:shd w:val="clear" w:color="auto" w:fill="FFFFFF"/>
        </w:tcPr>
        <w:p w:rsidR="0098622F" w:rsidRPr="00A912FD" w:rsidRDefault="00C8577A" w:rsidP="0098622F">
          <w:pPr>
            <w:pStyle w:val="a4"/>
            <w:keepNext/>
            <w:keepLines/>
            <w:shd w:val="clear" w:color="auto" w:fill="auto"/>
            <w:spacing w:before="120"/>
            <w:jc w:val="right"/>
            <w:rPr>
              <w:rFonts w:ascii="Times New Roman" w:hAnsi="Times New Roman" w:cs="Times New Roman"/>
              <w:sz w:val="20"/>
              <w:szCs w:val="24"/>
            </w:rPr>
          </w:pPr>
          <w:r w:rsidRPr="0098622F">
            <w:rPr>
              <w:rFonts w:ascii="Times New Roman" w:eastAsia="Century Gothic" w:hAnsi="Times New Roman" w:cs="Times New Roman"/>
              <w:color w:val="1A85C0"/>
              <w:sz w:val="20"/>
              <w:szCs w:val="24"/>
              <w:lang w:val="ru"/>
            </w:rPr>
            <w:t xml:space="preserve">Обмен данными — Страница </w:t>
          </w:r>
          <w:r w:rsidRPr="001F5950">
            <w:rPr>
              <w:rFonts w:ascii="Times New Roman" w:eastAsia="Century Gothic" w:hAnsi="Times New Roman" w:cs="Times New Roman"/>
              <w:bCs/>
              <w:color w:val="1A85C0"/>
              <w:sz w:val="20"/>
              <w:szCs w:val="24"/>
            </w:rPr>
            <w:fldChar w:fldCharType="begin"/>
          </w:r>
          <w:r w:rsidRPr="001F5950">
            <w:rPr>
              <w:rFonts w:ascii="Times New Roman" w:eastAsia="Century Gothic" w:hAnsi="Times New Roman" w:cs="Times New Roman"/>
              <w:bCs/>
              <w:color w:val="1A85C0"/>
              <w:sz w:val="20"/>
              <w:szCs w:val="24"/>
              <w:lang w:val="ru"/>
            </w:rPr>
            <w:instrText>PAGE  \* Arabic  \* MERGEFORMAT</w:instrText>
          </w:r>
          <w:r w:rsidRPr="001F5950">
            <w:rPr>
              <w:rFonts w:ascii="Times New Roman" w:eastAsia="Century Gothic" w:hAnsi="Times New Roman" w:cs="Times New Roman"/>
              <w:bCs/>
              <w:color w:val="1A85C0"/>
              <w:sz w:val="20"/>
              <w:szCs w:val="24"/>
            </w:rPr>
            <w:fldChar w:fldCharType="separate"/>
          </w:r>
          <w:r w:rsidR="00601EF4">
            <w:rPr>
              <w:rFonts w:ascii="Times New Roman" w:eastAsia="Century Gothic" w:hAnsi="Times New Roman" w:cs="Times New Roman"/>
              <w:bCs/>
              <w:noProof/>
              <w:color w:val="1A85C0"/>
              <w:sz w:val="20"/>
              <w:szCs w:val="24"/>
              <w:lang w:val="ru"/>
            </w:rPr>
            <w:t>1</w:t>
          </w:r>
          <w:r w:rsidRPr="001F5950">
            <w:rPr>
              <w:rFonts w:ascii="Times New Roman" w:eastAsia="Century Gothic" w:hAnsi="Times New Roman" w:cs="Times New Roman"/>
              <w:bCs/>
              <w:color w:val="1A85C0"/>
              <w:sz w:val="20"/>
              <w:szCs w:val="24"/>
            </w:rPr>
            <w:fldChar w:fldCharType="end"/>
          </w:r>
          <w:r w:rsidRPr="0098622F">
            <w:rPr>
              <w:rFonts w:ascii="Times New Roman" w:eastAsia="Century Gothic" w:hAnsi="Times New Roman" w:cs="Times New Roman"/>
              <w:color w:val="1A85C0"/>
              <w:sz w:val="20"/>
              <w:szCs w:val="24"/>
              <w:lang w:val="ru"/>
            </w:rPr>
            <w:t xml:space="preserve">из </w:t>
          </w:r>
          <w:r w:rsidRPr="001F5950">
            <w:rPr>
              <w:rFonts w:ascii="Times New Roman" w:eastAsia="Century Gothic" w:hAnsi="Times New Roman" w:cs="Times New Roman"/>
              <w:bCs/>
              <w:color w:val="1A85C0"/>
              <w:sz w:val="20"/>
              <w:szCs w:val="24"/>
            </w:rPr>
            <w:fldChar w:fldCharType="begin"/>
          </w:r>
          <w:r w:rsidRPr="001F5950">
            <w:rPr>
              <w:rFonts w:ascii="Times New Roman" w:eastAsia="Century Gothic" w:hAnsi="Times New Roman" w:cs="Times New Roman"/>
              <w:bCs/>
              <w:color w:val="1A85C0"/>
              <w:sz w:val="20"/>
              <w:szCs w:val="24"/>
              <w:lang w:val="ru"/>
            </w:rPr>
            <w:instrText>NUMPAGES  \* Arabic  \* MERGEFORMAT</w:instrText>
          </w:r>
          <w:r w:rsidRPr="001F5950">
            <w:rPr>
              <w:rFonts w:ascii="Times New Roman" w:eastAsia="Century Gothic" w:hAnsi="Times New Roman" w:cs="Times New Roman"/>
              <w:bCs/>
              <w:color w:val="1A85C0"/>
              <w:sz w:val="20"/>
              <w:szCs w:val="24"/>
            </w:rPr>
            <w:fldChar w:fldCharType="separate"/>
          </w:r>
          <w:r w:rsidR="00601EF4">
            <w:rPr>
              <w:rFonts w:ascii="Times New Roman" w:eastAsia="Century Gothic" w:hAnsi="Times New Roman" w:cs="Times New Roman"/>
              <w:bCs/>
              <w:noProof/>
              <w:color w:val="1A85C0"/>
              <w:sz w:val="20"/>
              <w:szCs w:val="24"/>
              <w:lang w:val="ru"/>
            </w:rPr>
            <w:t>10</w:t>
          </w:r>
          <w:r w:rsidRPr="001F5950">
            <w:rPr>
              <w:rFonts w:ascii="Times New Roman" w:eastAsia="Century Gothic" w:hAnsi="Times New Roman" w:cs="Times New Roman"/>
              <w:bCs/>
              <w:color w:val="1A85C0"/>
              <w:sz w:val="20"/>
              <w:szCs w:val="24"/>
            </w:rPr>
            <w:fldChar w:fldCharType="end"/>
          </w:r>
          <w:r w:rsidRPr="0098622F">
            <w:rPr>
              <w:rFonts w:ascii="Times New Roman" w:eastAsia="Century Gothic" w:hAnsi="Times New Roman" w:cs="Times New Roman"/>
              <w:color w:val="1A85C0"/>
              <w:sz w:val="20"/>
              <w:szCs w:val="24"/>
              <w:lang w:val="ru"/>
            </w:rPr>
            <w:t>.</w:t>
          </w:r>
        </w:p>
      </w:tc>
    </w:tr>
  </w:tbl>
  <w:p w:rsidR="0098622F" w:rsidRPr="007200DA" w:rsidRDefault="0098622F" w:rsidP="0098622F">
    <w:pPr>
      <w:pStyle w:val="ad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2FD" w:rsidRDefault="00A912FD">
    <w:pPr>
      <w:pStyle w:val="ad"/>
    </w:pPr>
  </w:p>
  <w:tbl>
    <w:tblPr>
      <w:tblOverlap w:val="never"/>
      <w:tblW w:w="0" w:type="auto"/>
      <w:tblBorders>
        <w:top w:val="single" w:sz="4" w:space="0" w:color="EB6537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18"/>
      <w:gridCol w:w="8088"/>
    </w:tblGrid>
    <w:tr w:rsidR="000628FC" w:rsidTr="0013545F">
      <w:tc>
        <w:tcPr>
          <w:tcW w:w="1118" w:type="dxa"/>
          <w:shd w:val="clear" w:color="auto" w:fill="FFFFFF"/>
        </w:tcPr>
        <w:p w:rsidR="00A912FD" w:rsidRPr="00A912FD" w:rsidRDefault="00C8577A" w:rsidP="00A912FD">
          <w:pPr>
            <w:keepNext/>
            <w:keepLines/>
            <w:jc w:val="center"/>
            <w:rPr>
              <w:sz w:val="20"/>
            </w:rPr>
          </w:pPr>
          <w:r w:rsidRPr="00A912FD">
            <w:rPr>
              <w:sz w:val="20"/>
              <w:lang w:val="ru"/>
            </w:rPr>
            <w:t>логотип: /</w:t>
          </w:r>
          <w:r w:rsidRPr="00A912FD">
            <w:rPr>
              <w:b/>
              <w:sz w:val="20"/>
              <w:lang w:val="ru"/>
            </w:rPr>
            <w:t>ICAR</w:t>
          </w:r>
          <w:r w:rsidRPr="00A912FD">
            <w:rPr>
              <w:sz w:val="20"/>
              <w:lang w:val="ru"/>
            </w:rPr>
            <w:t>/</w:t>
          </w:r>
        </w:p>
      </w:tc>
      <w:tc>
        <w:tcPr>
          <w:tcW w:w="8088" w:type="dxa"/>
          <w:shd w:val="clear" w:color="auto" w:fill="FFFFFF"/>
        </w:tcPr>
        <w:p w:rsidR="00A912FD" w:rsidRPr="00A912FD" w:rsidRDefault="00C8577A" w:rsidP="001F5950">
          <w:pPr>
            <w:pStyle w:val="a4"/>
            <w:keepNext/>
            <w:keepLines/>
            <w:shd w:val="clear" w:color="auto" w:fill="auto"/>
            <w:spacing w:before="120"/>
            <w:jc w:val="right"/>
            <w:rPr>
              <w:rFonts w:ascii="Times New Roman" w:hAnsi="Times New Roman" w:cs="Times New Roman"/>
              <w:sz w:val="20"/>
              <w:szCs w:val="24"/>
            </w:rPr>
          </w:pPr>
          <w:r w:rsidRPr="0098622F">
            <w:rPr>
              <w:rFonts w:ascii="Times New Roman" w:eastAsia="Century Gothic" w:hAnsi="Times New Roman" w:cs="Times New Roman"/>
              <w:color w:val="1A85C0"/>
              <w:sz w:val="20"/>
              <w:szCs w:val="24"/>
              <w:lang w:val="ru"/>
            </w:rPr>
            <w:t xml:space="preserve">Обмен данными — Страница </w:t>
          </w:r>
          <w:r w:rsidR="001F5950" w:rsidRPr="001F5950">
            <w:rPr>
              <w:rFonts w:ascii="Times New Roman" w:eastAsia="Century Gothic" w:hAnsi="Times New Roman" w:cs="Times New Roman"/>
              <w:bCs/>
              <w:color w:val="1A85C0"/>
              <w:sz w:val="20"/>
              <w:szCs w:val="24"/>
            </w:rPr>
            <w:fldChar w:fldCharType="begin"/>
          </w:r>
          <w:r w:rsidR="001F5950" w:rsidRPr="001F5950">
            <w:rPr>
              <w:rFonts w:ascii="Times New Roman" w:eastAsia="Century Gothic" w:hAnsi="Times New Roman" w:cs="Times New Roman"/>
              <w:bCs/>
              <w:color w:val="1A85C0"/>
              <w:sz w:val="20"/>
              <w:szCs w:val="24"/>
              <w:lang w:val="ru"/>
            </w:rPr>
            <w:instrText>PAGE  \* Arabic  \* MERGEFORMAT</w:instrText>
          </w:r>
          <w:r w:rsidR="001F5950" w:rsidRPr="001F5950">
            <w:rPr>
              <w:rFonts w:ascii="Times New Roman" w:eastAsia="Century Gothic" w:hAnsi="Times New Roman" w:cs="Times New Roman"/>
              <w:bCs/>
              <w:color w:val="1A85C0"/>
              <w:sz w:val="20"/>
              <w:szCs w:val="24"/>
            </w:rPr>
            <w:fldChar w:fldCharType="separate"/>
          </w:r>
          <w:r w:rsidR="00601EF4">
            <w:rPr>
              <w:rFonts w:ascii="Times New Roman" w:eastAsia="Century Gothic" w:hAnsi="Times New Roman" w:cs="Times New Roman"/>
              <w:bCs/>
              <w:noProof/>
              <w:color w:val="1A85C0"/>
              <w:sz w:val="20"/>
              <w:szCs w:val="24"/>
              <w:lang w:val="ru"/>
            </w:rPr>
            <w:t>2</w:t>
          </w:r>
          <w:r w:rsidR="001F5950" w:rsidRPr="001F5950">
            <w:rPr>
              <w:rFonts w:ascii="Times New Roman" w:eastAsia="Century Gothic" w:hAnsi="Times New Roman" w:cs="Times New Roman"/>
              <w:bCs/>
              <w:color w:val="1A85C0"/>
              <w:sz w:val="20"/>
              <w:szCs w:val="24"/>
            </w:rPr>
            <w:fldChar w:fldCharType="end"/>
          </w:r>
          <w:r w:rsidRPr="0098622F">
            <w:rPr>
              <w:rFonts w:ascii="Times New Roman" w:eastAsia="Century Gothic" w:hAnsi="Times New Roman" w:cs="Times New Roman"/>
              <w:color w:val="1A85C0"/>
              <w:sz w:val="20"/>
              <w:szCs w:val="24"/>
              <w:lang w:val="ru"/>
            </w:rPr>
            <w:t xml:space="preserve">из </w:t>
          </w:r>
          <w:r w:rsidR="001F5950" w:rsidRPr="001F5950">
            <w:rPr>
              <w:rFonts w:ascii="Times New Roman" w:eastAsia="Century Gothic" w:hAnsi="Times New Roman" w:cs="Times New Roman"/>
              <w:bCs/>
              <w:color w:val="1A85C0"/>
              <w:sz w:val="20"/>
              <w:szCs w:val="24"/>
            </w:rPr>
            <w:fldChar w:fldCharType="begin"/>
          </w:r>
          <w:r w:rsidR="001F5950" w:rsidRPr="001F5950">
            <w:rPr>
              <w:rFonts w:ascii="Times New Roman" w:eastAsia="Century Gothic" w:hAnsi="Times New Roman" w:cs="Times New Roman"/>
              <w:bCs/>
              <w:color w:val="1A85C0"/>
              <w:sz w:val="20"/>
              <w:szCs w:val="24"/>
              <w:lang w:val="ru"/>
            </w:rPr>
            <w:instrText>NUMPAGES  \* Arabic  \* MERGEFORMAT</w:instrText>
          </w:r>
          <w:r w:rsidR="001F5950" w:rsidRPr="001F5950">
            <w:rPr>
              <w:rFonts w:ascii="Times New Roman" w:eastAsia="Century Gothic" w:hAnsi="Times New Roman" w:cs="Times New Roman"/>
              <w:bCs/>
              <w:color w:val="1A85C0"/>
              <w:sz w:val="20"/>
              <w:szCs w:val="24"/>
            </w:rPr>
            <w:fldChar w:fldCharType="separate"/>
          </w:r>
          <w:r w:rsidR="00601EF4">
            <w:rPr>
              <w:rFonts w:ascii="Times New Roman" w:eastAsia="Century Gothic" w:hAnsi="Times New Roman" w:cs="Times New Roman"/>
              <w:bCs/>
              <w:noProof/>
              <w:color w:val="1A85C0"/>
              <w:sz w:val="20"/>
              <w:szCs w:val="24"/>
              <w:lang w:val="ru"/>
            </w:rPr>
            <w:t>10</w:t>
          </w:r>
          <w:r w:rsidR="001F5950" w:rsidRPr="001F5950">
            <w:rPr>
              <w:rFonts w:ascii="Times New Roman" w:eastAsia="Century Gothic" w:hAnsi="Times New Roman" w:cs="Times New Roman"/>
              <w:bCs/>
              <w:color w:val="1A85C0"/>
              <w:sz w:val="20"/>
              <w:szCs w:val="24"/>
            </w:rPr>
            <w:fldChar w:fldCharType="end"/>
          </w:r>
          <w:r w:rsidRPr="0098622F">
            <w:rPr>
              <w:rFonts w:ascii="Times New Roman" w:eastAsia="Century Gothic" w:hAnsi="Times New Roman" w:cs="Times New Roman"/>
              <w:color w:val="1A85C0"/>
              <w:sz w:val="20"/>
              <w:szCs w:val="24"/>
              <w:lang w:val="ru"/>
            </w:rPr>
            <w:t>.</w:t>
          </w:r>
        </w:p>
      </w:tc>
    </w:tr>
  </w:tbl>
  <w:p w:rsidR="00A912FD" w:rsidRPr="007200DA" w:rsidRDefault="00A912FD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77A" w:rsidRDefault="00C8577A">
      <w:r>
        <w:separator/>
      </w:r>
    </w:p>
  </w:footnote>
  <w:footnote w:type="continuationSeparator" w:id="0">
    <w:p w:rsidR="00C8577A" w:rsidRDefault="00C8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5000" w:type="pct"/>
      <w:tblBorders>
        <w:bottom w:val="single" w:sz="4" w:space="0" w:color="EB6537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073"/>
    </w:tblGrid>
    <w:tr w:rsidR="000628FC" w:rsidRPr="00601EF4" w:rsidTr="007459A3">
      <w:tc>
        <w:tcPr>
          <w:tcW w:w="5000" w:type="pct"/>
          <w:shd w:val="clear" w:color="auto" w:fill="FFFFFF"/>
        </w:tcPr>
        <w:p w:rsidR="0098622F" w:rsidRPr="00601EF4" w:rsidRDefault="00C8577A" w:rsidP="0098622F">
          <w:pPr>
            <w:pStyle w:val="a4"/>
            <w:keepNext/>
            <w:keepLines/>
            <w:shd w:val="clear" w:color="auto" w:fill="auto"/>
            <w:jc w:val="right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ascii="Times New Roman" w:eastAsia="Arial" w:hAnsi="Times New Roman" w:cs="Times New Roman"/>
              <w:b/>
              <w:bCs/>
              <w:color w:val="28374F"/>
              <w:sz w:val="24"/>
              <w:szCs w:val="24"/>
              <w:lang w:val="ru"/>
            </w:rPr>
            <w:t>Обзор</w:t>
          </w:r>
        </w:p>
        <w:p w:rsidR="0098622F" w:rsidRPr="00601EF4" w:rsidRDefault="00C8577A" w:rsidP="0098622F">
          <w:pPr>
            <w:pStyle w:val="a4"/>
            <w:keepNext/>
            <w:keepLines/>
            <w:shd w:val="clear" w:color="auto" w:fill="auto"/>
            <w:jc w:val="right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FF1FF3">
            <w:rPr>
              <w:rFonts w:ascii="Times New Roman" w:eastAsia="Arial" w:hAnsi="Times New Roman" w:cs="Times New Roman"/>
              <w:color w:val="28374F"/>
              <w:sz w:val="24"/>
              <w:szCs w:val="24"/>
              <w:lang w:val="ru"/>
            </w:rPr>
            <w:t>Раздел 15 — Обмен данными</w:t>
          </w:r>
        </w:p>
        <w:p w:rsidR="0098622F" w:rsidRPr="00601EF4" w:rsidRDefault="00C8577A" w:rsidP="0098622F">
          <w:pPr>
            <w:pStyle w:val="a4"/>
            <w:keepNext/>
            <w:keepLines/>
            <w:shd w:val="clear" w:color="auto" w:fill="auto"/>
            <w:spacing w:after="120"/>
            <w:jc w:val="right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7200DA">
            <w:rPr>
              <w:rFonts w:ascii="Times New Roman" w:eastAsia="Century Gothic" w:hAnsi="Times New Roman" w:cs="Times New Roman"/>
              <w:color w:val="1A85C0"/>
              <w:sz w:val="20"/>
              <w:szCs w:val="24"/>
              <w:lang w:val="ru"/>
            </w:rPr>
            <w:t>Дата выпуска версии: февраль 2019 г.</w:t>
          </w:r>
        </w:p>
      </w:tc>
    </w:tr>
  </w:tbl>
  <w:p w:rsidR="0098622F" w:rsidRPr="00601EF4" w:rsidRDefault="0098622F" w:rsidP="0098622F">
    <w:pPr>
      <w:pStyle w:val="ab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5000" w:type="pct"/>
      <w:tblBorders>
        <w:bottom w:val="single" w:sz="4" w:space="0" w:color="EB6537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073"/>
    </w:tblGrid>
    <w:tr w:rsidR="000628FC" w:rsidRPr="00601EF4" w:rsidTr="004C6B40">
      <w:tc>
        <w:tcPr>
          <w:tcW w:w="5000" w:type="pct"/>
          <w:shd w:val="clear" w:color="auto" w:fill="FFFFFF"/>
        </w:tcPr>
        <w:p w:rsidR="007200DA" w:rsidRPr="00601EF4" w:rsidRDefault="00C8577A" w:rsidP="007200DA">
          <w:pPr>
            <w:pStyle w:val="a4"/>
            <w:keepNext/>
            <w:keepLines/>
            <w:shd w:val="clear" w:color="auto" w:fill="auto"/>
            <w:jc w:val="right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ascii="Times New Roman" w:eastAsia="Arial" w:hAnsi="Times New Roman" w:cs="Times New Roman"/>
              <w:b/>
              <w:bCs/>
              <w:color w:val="28374F"/>
              <w:sz w:val="24"/>
              <w:szCs w:val="24"/>
              <w:lang w:val="ru"/>
            </w:rPr>
            <w:t>Обзор</w:t>
          </w:r>
        </w:p>
        <w:p w:rsidR="007200DA" w:rsidRPr="00601EF4" w:rsidRDefault="00C8577A" w:rsidP="007200DA">
          <w:pPr>
            <w:pStyle w:val="a4"/>
            <w:keepNext/>
            <w:keepLines/>
            <w:shd w:val="clear" w:color="auto" w:fill="auto"/>
            <w:jc w:val="right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FF1FF3">
            <w:rPr>
              <w:rFonts w:ascii="Times New Roman" w:eastAsia="Arial" w:hAnsi="Times New Roman" w:cs="Times New Roman"/>
              <w:color w:val="28374F"/>
              <w:sz w:val="24"/>
              <w:szCs w:val="24"/>
              <w:lang w:val="ru"/>
            </w:rPr>
            <w:t>Раздел 15 — Обмен данными</w:t>
          </w:r>
        </w:p>
        <w:p w:rsidR="007200DA" w:rsidRPr="00601EF4" w:rsidRDefault="00C8577A" w:rsidP="007200DA">
          <w:pPr>
            <w:pStyle w:val="a4"/>
            <w:keepNext/>
            <w:keepLines/>
            <w:shd w:val="clear" w:color="auto" w:fill="auto"/>
            <w:spacing w:after="120"/>
            <w:jc w:val="right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7200DA">
            <w:rPr>
              <w:rFonts w:ascii="Times New Roman" w:eastAsia="Century Gothic" w:hAnsi="Times New Roman" w:cs="Times New Roman"/>
              <w:color w:val="1A85C0"/>
              <w:sz w:val="20"/>
              <w:szCs w:val="24"/>
              <w:lang w:val="ru"/>
            </w:rPr>
            <w:t>Дата выпуска версии: февраль 2019 г.</w:t>
          </w:r>
        </w:p>
      </w:tc>
    </w:tr>
  </w:tbl>
  <w:p w:rsidR="007200DA" w:rsidRPr="00601EF4" w:rsidRDefault="007200DA">
    <w:pPr>
      <w:pStyle w:val="ab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96"/>
    <w:rsid w:val="00037615"/>
    <w:rsid w:val="000628FC"/>
    <w:rsid w:val="000D2BA7"/>
    <w:rsid w:val="000E1674"/>
    <w:rsid w:val="00192D6D"/>
    <w:rsid w:val="001A2806"/>
    <w:rsid w:val="001F5950"/>
    <w:rsid w:val="00377C3C"/>
    <w:rsid w:val="003C3859"/>
    <w:rsid w:val="004A45F7"/>
    <w:rsid w:val="005A6623"/>
    <w:rsid w:val="005B4D28"/>
    <w:rsid w:val="005E5FAB"/>
    <w:rsid w:val="00601EF4"/>
    <w:rsid w:val="0068740E"/>
    <w:rsid w:val="006E0AB2"/>
    <w:rsid w:val="00717D32"/>
    <w:rsid w:val="007200DA"/>
    <w:rsid w:val="0075317E"/>
    <w:rsid w:val="008D4273"/>
    <w:rsid w:val="00972A90"/>
    <w:rsid w:val="0098622F"/>
    <w:rsid w:val="0099100F"/>
    <w:rsid w:val="009A35EB"/>
    <w:rsid w:val="00A912FD"/>
    <w:rsid w:val="00C8577A"/>
    <w:rsid w:val="00CF4028"/>
    <w:rsid w:val="00D02F96"/>
    <w:rsid w:val="00D82CA0"/>
    <w:rsid w:val="00D91857"/>
    <w:rsid w:val="00FB1DF7"/>
    <w:rsid w:val="00F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E244"/>
  <w15:docId w15:val="{14850E3B-498B-45D0-B32B-13C6DB8A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color w:val="28374F"/>
      <w:sz w:val="44"/>
      <w:szCs w:val="44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color w:val="28374F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1A85C0"/>
      <w:sz w:val="16"/>
      <w:szCs w:val="16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1A85C0"/>
      <w:sz w:val="26"/>
      <w:szCs w:val="26"/>
      <w:u w:val="none"/>
    </w:rPr>
  </w:style>
  <w:style w:type="character" w:customStyle="1" w:styleId="a5">
    <w:name w:val="Основной текст_"/>
    <w:basedOn w:val="a0"/>
    <w:link w:val="1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rPr>
      <w:rFonts w:ascii="Georgia" w:eastAsia="Georgia" w:hAnsi="Georgia" w:cs="Georgi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color w:val="1A85C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Georgia" w:eastAsia="Georgia" w:hAnsi="Georgia" w:cs="Georgia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6" w:lineRule="auto"/>
      <w:ind w:left="340" w:firstLine="20"/>
      <w:outlineLvl w:val="0"/>
    </w:pPr>
    <w:rPr>
      <w:rFonts w:ascii="Arial" w:eastAsia="Arial" w:hAnsi="Arial" w:cs="Arial"/>
      <w:b/>
      <w:bCs/>
      <w:color w:val="28374F"/>
      <w:sz w:val="44"/>
      <w:szCs w:val="4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ind w:firstLine="340"/>
    </w:pPr>
    <w:rPr>
      <w:rFonts w:ascii="Arial" w:eastAsia="Arial" w:hAnsi="Arial" w:cs="Arial"/>
      <w:b/>
      <w:bCs/>
      <w:color w:val="28374F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firstLine="340"/>
    </w:pPr>
    <w:rPr>
      <w:rFonts w:ascii="Century Gothic" w:eastAsia="Century Gothic" w:hAnsi="Century Gothic" w:cs="Century Gothic"/>
      <w:color w:val="1A85C0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outlineLvl w:val="1"/>
    </w:pPr>
    <w:rPr>
      <w:rFonts w:ascii="Arial" w:eastAsia="Arial" w:hAnsi="Arial" w:cs="Arial"/>
      <w:b/>
      <w:bCs/>
      <w:color w:val="1A85C0"/>
      <w:sz w:val="26"/>
      <w:szCs w:val="26"/>
    </w:rPr>
  </w:style>
  <w:style w:type="paragraph" w:customStyle="1" w:styleId="11">
    <w:name w:val="Основной текст1"/>
    <w:basedOn w:val="a"/>
    <w:link w:val="a5"/>
    <w:pPr>
      <w:shd w:val="clear" w:color="auto" w:fill="FFFFFF"/>
    </w:pPr>
    <w:rPr>
      <w:rFonts w:ascii="Georgia" w:eastAsia="Georgia" w:hAnsi="Georgia" w:cs="Georgia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9" w:lineRule="auto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9" w:lineRule="auto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a9">
    <w:name w:val="Подпись к картинке"/>
    <w:basedOn w:val="a"/>
    <w:link w:val="a8"/>
    <w:pPr>
      <w:shd w:val="clear" w:color="auto" w:fill="FFFFFF"/>
    </w:pPr>
    <w:rPr>
      <w:rFonts w:ascii="Georgia" w:eastAsia="Georgia" w:hAnsi="Georgia" w:cs="Georgia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4" w:lineRule="auto"/>
      <w:ind w:left="600" w:firstLine="20"/>
    </w:pPr>
    <w:rPr>
      <w:rFonts w:ascii="Calibri" w:eastAsia="Calibri" w:hAnsi="Calibri" w:cs="Calibri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ind w:left="1240" w:hanging="340"/>
    </w:pPr>
    <w:rPr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ind w:firstLine="610"/>
    </w:pPr>
    <w:rPr>
      <w:rFonts w:ascii="Arial" w:eastAsia="Arial" w:hAnsi="Arial" w:cs="Arial"/>
      <w:color w:val="1A85C0"/>
      <w:sz w:val="18"/>
      <w:szCs w:val="18"/>
    </w:rPr>
  </w:style>
  <w:style w:type="character" w:styleId="aa">
    <w:name w:val="Hyperlink"/>
    <w:basedOn w:val="a0"/>
    <w:uiPriority w:val="99"/>
    <w:unhideWhenUsed/>
    <w:rsid w:val="0003761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200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200DA"/>
    <w:rPr>
      <w:color w:val="000000"/>
    </w:rPr>
  </w:style>
  <w:style w:type="paragraph" w:styleId="ad">
    <w:name w:val="footer"/>
    <w:basedOn w:val="a"/>
    <w:link w:val="ae"/>
    <w:uiPriority w:val="99"/>
    <w:unhideWhenUsed/>
    <w:rsid w:val="007200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00DA"/>
    <w:rPr>
      <w:color w:val="000000"/>
    </w:rPr>
  </w:style>
  <w:style w:type="paragraph" w:customStyle="1" w:styleId="110">
    <w:name w:val="11"/>
    <w:basedOn w:val="20"/>
    <w:link w:val="111"/>
    <w:qFormat/>
    <w:rsid w:val="00A912FD"/>
    <w:pPr>
      <w:keepNext/>
      <w:keepLines/>
      <w:shd w:val="clear" w:color="auto" w:fill="auto"/>
      <w:spacing w:before="360" w:after="240"/>
      <w:ind w:hanging="567"/>
      <w:outlineLvl w:val="9"/>
    </w:pPr>
    <w:rPr>
      <w:rFonts w:ascii="Times New Roman" w:hAnsi="Times New Roman" w:cs="Times New Roman"/>
      <w:sz w:val="28"/>
      <w:szCs w:val="24"/>
      <w:lang w:val="de-DE" w:eastAsia="de-DE" w:bidi="de-DE"/>
    </w:rPr>
  </w:style>
  <w:style w:type="paragraph" w:customStyle="1" w:styleId="1tab">
    <w:name w:val="1tab"/>
    <w:basedOn w:val="a7"/>
    <w:link w:val="1tab0"/>
    <w:qFormat/>
    <w:rsid w:val="0099100F"/>
    <w:pPr>
      <w:keepNext/>
      <w:keepLines/>
      <w:shd w:val="clear" w:color="auto" w:fill="auto"/>
      <w:spacing w:before="240" w:after="120" w:line="240" w:lineRule="auto"/>
      <w:jc w:val="center"/>
    </w:pPr>
    <w:rPr>
      <w:rFonts w:ascii="Times New Roman" w:eastAsia="Georgia" w:hAnsi="Times New Roman" w:cs="Times New Roman"/>
      <w:b w:val="0"/>
      <w:bCs w:val="0"/>
      <w:i/>
      <w:iCs/>
      <w:sz w:val="24"/>
      <w:szCs w:val="24"/>
    </w:rPr>
  </w:style>
  <w:style w:type="character" w:customStyle="1" w:styleId="111">
    <w:name w:val="11 Знак"/>
    <w:basedOn w:val="2"/>
    <w:link w:val="110"/>
    <w:rsid w:val="00A912FD"/>
    <w:rPr>
      <w:rFonts w:ascii="Arial" w:eastAsia="Arial" w:hAnsi="Arial" w:cs="Arial"/>
      <w:b/>
      <w:bCs/>
      <w:i w:val="0"/>
      <w:iCs w:val="0"/>
      <w:smallCaps w:val="0"/>
      <w:strike w:val="0"/>
      <w:color w:val="1A85C0"/>
      <w:sz w:val="28"/>
      <w:szCs w:val="26"/>
      <w:u w:val="none"/>
      <w:lang w:val="de-DE" w:eastAsia="de-DE" w:bidi="de-DE"/>
    </w:rPr>
  </w:style>
  <w:style w:type="character" w:customStyle="1" w:styleId="1tab0">
    <w:name w:val="1tab Знак"/>
    <w:basedOn w:val="a6"/>
    <w:link w:val="1tab"/>
    <w:rsid w:val="0099100F"/>
    <w:rPr>
      <w:rFonts w:ascii="Trebuchet MS" w:eastAsia="Georgia" w:hAnsi="Trebuchet MS" w:cs="Trebuchet MS"/>
      <w:b w:val="0"/>
      <w:bCs w:val="0"/>
      <w:i/>
      <w:iCs/>
      <w:smallCaps w:val="0"/>
      <w:strike w:val="0"/>
      <w:color w:val="000000"/>
      <w:sz w:val="20"/>
      <w:szCs w:val="20"/>
      <w:u w:val="none"/>
    </w:rPr>
  </w:style>
  <w:style w:type="paragraph" w:customStyle="1" w:styleId="1fig">
    <w:name w:val="1fig"/>
    <w:basedOn w:val="1tab"/>
    <w:link w:val="1fig0"/>
    <w:qFormat/>
    <w:rsid w:val="0099100F"/>
  </w:style>
  <w:style w:type="paragraph" w:customStyle="1" w:styleId="12">
    <w:name w:val="12"/>
    <w:basedOn w:val="50"/>
    <w:link w:val="120"/>
    <w:qFormat/>
    <w:rsid w:val="00A912FD"/>
    <w:pPr>
      <w:keepNext/>
      <w:keepLines/>
      <w:shd w:val="clear" w:color="auto" w:fill="auto"/>
      <w:spacing w:before="240" w:after="120" w:line="240" w:lineRule="auto"/>
      <w:ind w:hanging="567"/>
    </w:pPr>
    <w:rPr>
      <w:rFonts w:ascii="Times New Roman" w:hAnsi="Times New Roman" w:cs="Times New Roman"/>
      <w:sz w:val="24"/>
      <w:szCs w:val="24"/>
    </w:rPr>
  </w:style>
  <w:style w:type="character" w:customStyle="1" w:styleId="1fig0">
    <w:name w:val="1fig Знак"/>
    <w:basedOn w:val="1tab0"/>
    <w:link w:val="1fig"/>
    <w:rsid w:val="0099100F"/>
    <w:rPr>
      <w:rFonts w:ascii="Trebuchet MS" w:eastAsia="Georgia" w:hAnsi="Trebuchet MS" w:cs="Trebuchet MS"/>
      <w:b w:val="0"/>
      <w:bCs w:val="0"/>
      <w:i/>
      <w:iCs/>
      <w:smallCaps w:val="0"/>
      <w:strike w:val="0"/>
      <w:color w:val="000000"/>
      <w:sz w:val="20"/>
      <w:szCs w:val="20"/>
      <w:u w:val="none"/>
    </w:rPr>
  </w:style>
  <w:style w:type="character" w:customStyle="1" w:styleId="120">
    <w:name w:val="12 Знак"/>
    <w:basedOn w:val="5"/>
    <w:link w:val="12"/>
    <w:rsid w:val="00A912F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customStyle="1" w:styleId="13">
    <w:name w:val="13"/>
    <w:basedOn w:val="12"/>
    <w:link w:val="130"/>
    <w:qFormat/>
    <w:rsid w:val="0099100F"/>
    <w:pPr>
      <w:ind w:left="709" w:hanging="709"/>
    </w:pPr>
  </w:style>
  <w:style w:type="character" w:customStyle="1" w:styleId="130">
    <w:name w:val="13 Знак"/>
    <w:basedOn w:val="120"/>
    <w:link w:val="13"/>
    <w:rsid w:val="0099100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table" w:styleId="af">
    <w:name w:val="Table Grid"/>
    <w:basedOn w:val="a1"/>
    <w:uiPriority w:val="39"/>
    <w:rsid w:val="00CF4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hyperlink" Target="https://www.icar.org/Guidelines/15-Appendix-A-Data-Dictionary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hyperlink" Target="https://www.icar.org/Guidelines/15-Appendix-A-Data-Dictionary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car.org/Guidelines/15-Procedure-4-Reproduction-Data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www.icar.org/Guidelines/15-Procedure-2-Milking-Data.pdf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so.org/standard/19984.html" TargetMode="External"/><Relationship Id="rId14" Type="http://schemas.openxmlformats.org/officeDocument/2006/relationships/hyperlink" Target="https://www.icar.org/Guidelines/15-Procedure-1-Methodology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C141-360A-4F9A-B3D5-8D42B45A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Dex Ter</cp:lastModifiedBy>
  <cp:revision>9</cp:revision>
  <dcterms:created xsi:type="dcterms:W3CDTF">2021-09-15T18:43:00Z</dcterms:created>
  <dcterms:modified xsi:type="dcterms:W3CDTF">2021-10-01T13:53:00Z</dcterms:modified>
</cp:coreProperties>
</file>