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2605" w14:textId="77777777" w:rsidR="001F0C50" w:rsidRPr="006A3B55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Назначение документа</w:t>
      </w:r>
    </w:p>
    <w:p w14:paraId="1DED4F75" w14:textId="77777777" w:rsidR="001F0C50" w:rsidRPr="00847C67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В конце 2017 или начале 2018 года ICAR начнет предлагать две новые услуги, связанные с использованием SNP-генотипов для молочного и мясного скота. Одной из этих услуг является сервис </w:t>
      </w:r>
      <w:r w:rsidRPr="00847C67">
        <w:rPr>
          <w:rFonts w:ascii="Times New Roman" w:hAnsi="Times New Roman" w:cs="Times New Roman"/>
          <w:sz w:val="24"/>
          <w:szCs w:val="24"/>
          <w:u w:val="single"/>
          <w:lang w:val="ru"/>
        </w:rPr>
        <w:t>Geno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type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Ex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change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P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arentage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S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NP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E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xchange (GenoEx-PSE), который позволяет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странам обмениваться SNP генотипами с целью оказания услуг по анализу происхождения для конкретных групп популяций пород на национальном уровне. Еще одна новая услуга, которая также является обязательным условием для GenoEx-PSE, — это услуга ICAR по аккред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итации в сфере анализа происхождения для центров интерпретации данных, которая позволяет организациям, желающим выполнять услуги по анализу происхождения, получить аккредитацию от независимой третьей стороны. Организации, желающие стать пользователями услу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г GenoEx-PSE, должны сначала получить аккредитацию ICAR для центров интерпретации данных.</w:t>
      </w:r>
    </w:p>
    <w:p w14:paraId="340DF37B" w14:textId="77777777" w:rsidR="001F0C50" w:rsidRPr="006A3B55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В июле 2012 года Международное общество генетики животных (ISAG) утвердило стандарты для лабораторий генотипирования для проведения подтверждения происхождения. Насто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ящее </w:t>
      </w:r>
      <w:r w:rsidRPr="00847C6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"/>
        </w:rPr>
        <w:t>«Руководство по подтверждению происхождения крупного рогатого скота на основе SNP-маркеров»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было основано на подтверждении происхождения с использованием набора из 200 рекомендуемых SNP, из которых 100 считаются основными SNP, а второй набор из 100 —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резервными SNP.</w:t>
      </w:r>
    </w:p>
    <w:p w14:paraId="1642741A" w14:textId="77777777" w:rsidR="001F0C50" w:rsidRPr="006A3B55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Данный документ имеет следующие две цели:</w:t>
      </w:r>
    </w:p>
    <w:p w14:paraId="0E6CC8B0" w14:textId="77777777" w:rsidR="001F0C50" w:rsidRPr="006A3B55" w:rsidRDefault="005A6E19" w:rsidP="006A4A15">
      <w:pPr>
        <w:pStyle w:val="50"/>
        <w:shd w:val="clear" w:color="auto" w:fill="auto"/>
        <w:spacing w:after="12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1.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Пересмотреть существующие рекомендации ISAG по подтверждению происхождения молочного и мясного скота с использованием 200 SNP, рекомендованных ISAG, и</w:t>
      </w:r>
    </w:p>
    <w:p w14:paraId="7E5BC719" w14:textId="77777777" w:rsidR="001F0C50" w:rsidRPr="006A3B55" w:rsidRDefault="005A6E19" w:rsidP="005E70F2">
      <w:pPr>
        <w:pStyle w:val="50"/>
        <w:shd w:val="clear" w:color="auto" w:fill="auto"/>
        <w:spacing w:after="36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2.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Разработать новые рекомендации по подтвер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ждению происхождения на основе SNP, включенных для этой цели в сервис обмена генотипами GenoEx-PSE, которых первоначально насчитывается 554.</w:t>
      </w:r>
    </w:p>
    <w:p w14:paraId="21F20F02" w14:textId="77777777" w:rsidR="001F0C50" w:rsidRPr="006A3B55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Принципы</w:t>
      </w:r>
    </w:p>
    <w:p w14:paraId="5E367C31" w14:textId="77777777" w:rsidR="001F0C50" w:rsidRPr="006A3B55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При проведении анализа происхождения, который включает подтверждение и/или установление происхождения, нуж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но учитывать следующие основополагающие принципы:</w:t>
      </w:r>
    </w:p>
    <w:p w14:paraId="6B47540B" w14:textId="77777777" w:rsidR="001F0C50" w:rsidRPr="006A3B55" w:rsidRDefault="005A6E19" w:rsidP="005E70F2">
      <w:pPr>
        <w:pStyle w:val="50"/>
        <w:shd w:val="clear" w:color="auto" w:fill="auto"/>
        <w:spacing w:after="120"/>
        <w:ind w:left="709" w:hanging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•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Должен быть определен унифицированный набор SNP для использования всеми организациями в целях международного признания аккредитации в сфере анализа происхождения и последующего предоставления «сертифициро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ванной» информации о происхождении.</w:t>
      </w:r>
    </w:p>
    <w:p w14:paraId="2A700795" w14:textId="77777777" w:rsidR="001F0C50" w:rsidRPr="006A3B55" w:rsidRDefault="005A6E19" w:rsidP="005E70F2">
      <w:pPr>
        <w:pStyle w:val="50"/>
        <w:shd w:val="clear" w:color="auto" w:fill="auto"/>
        <w:spacing w:after="120"/>
        <w:ind w:left="709" w:hanging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•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Для каждого животного, задействованного в процессе анализа происхождения (т. е. для самого животного и каждого из его потенциальных родителей), требуется наличие доступной информации о генотипе SNP, для которого опреде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лена и доступна минимальная доля определенного набора SNP. При установлении таких минимальных требований следует учитывать включение определенных SNP на различные чипы для генотипирования, широко используемые в рассматриваемой популяции животных.</w:t>
      </w:r>
    </w:p>
    <w:p w14:paraId="26DFB406" w14:textId="77777777" w:rsidR="00817293" w:rsidRPr="006A3B55" w:rsidRDefault="005A6E19" w:rsidP="005E70F2">
      <w:pPr>
        <w:pStyle w:val="50"/>
        <w:shd w:val="clear" w:color="auto" w:fill="auto"/>
        <w:spacing w:after="360"/>
        <w:ind w:left="709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lastRenderedPageBreak/>
        <w:t>•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Хотя оч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евидно, что только информативные SNP (т. е. SNP, по которым и животное, и его предполагаемый родитель являются гомозиготными) предоставляют полезную информацию для анализа происхождения, представляется более целесообразным основывать рекомендации на общем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количестве SNP, доступных для животного и его предполагаемого родителя. Грубо говоря, около трети доступных для анализа происхождения SNP являются информативными, но эта пропорция зависит от средней частоты минорных аллелей, включенных SNP в рамках рассмат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риваемой популяции животных.</w:t>
      </w:r>
    </w:p>
    <w:p w14:paraId="6F0A1C4C" w14:textId="77777777" w:rsidR="001F0C50" w:rsidRPr="006A3B55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Подтверждение происхождения</w:t>
      </w:r>
    </w:p>
    <w:p w14:paraId="71EC92CE" w14:textId="77777777" w:rsidR="001F0C50" w:rsidRPr="006A3B55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Текущие рекомендации ISAG по подтверждению происхождения крупного рогатого скота предусматривают использование набора из 100 основных SNP, а также второго набора из 100 дополнительных SNP. В руководс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тве описывается возможный двухэтапный процесс, в соответствии с которым результаты на основе 100 основных SNP могут использоваться для признания статуса «происхождение подтверждено» или «происхождение исключено», и только при получении первичного статуса «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происхождение недостоверно» анализ продолжается с использованием второй группы из 100 вспомогательных SNP. Этот второй этап подтверждения происхождения может иметь своим результатом окончательный статус «происхождение подтверждено» или «происхождение исклю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чено». В случае повторного получения результата «происхождение недостоверно», когда были обработаны новые образцы и/или генотипы соответствующих животных и клиент не может определить других возможных родителей, зарегистрированное происхождение будет иметь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статус «происхождение подтверждено».</w:t>
      </w:r>
    </w:p>
    <w:p w14:paraId="1BC8EB24" w14:textId="77777777" w:rsidR="001F0C50" w:rsidRPr="006A3B55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Учитывая текущий уровень знаний и опыт использования генотипов SNP для подтверждения происхождения, для целей аккредитации ICAR были одобрены следующие модификации существующих руководств ISAG:</w:t>
      </w:r>
    </w:p>
    <w:p w14:paraId="05F172C3" w14:textId="77777777" w:rsidR="001F0C50" w:rsidRPr="006A3B55" w:rsidRDefault="005A6E19" w:rsidP="006A4A15">
      <w:pPr>
        <w:pStyle w:val="50"/>
        <w:shd w:val="clear" w:color="auto" w:fill="auto"/>
        <w:spacing w:after="12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1.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 xml:space="preserve">После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одобрения Рабочей группой ICAR по технологиям ДНК, отдельные SNP, включенные в текущую группу из 200 SNP, рекомендованных ISAG для подтверждения происхождения крупного рогатого скота, могут быть сочтены неподходящими для включения. Такое сокращение использ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уемого общего набора SNP будет применяться всеми организациями, получающими аккредитацию ICAR для центров интерпретации данных. В Приложении 1 перечислены SNP, применение которых вызвало проблемы при подтверждении происхождения и которые рекомендуется искл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ючить из исходного списка 200 рекомендованных ISAG SNP для подтверждения происхождения. На постоянной основе ISAG может выявлять другие проблемные SNP на различных платформах и технологиях чипов для включения в Приложение 1 после окончательного утверждения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Рабочей группой ICAR по ДНК.</w:t>
      </w:r>
    </w:p>
    <w:p w14:paraId="1ACC5C8A" w14:textId="77777777" w:rsidR="001F0C50" w:rsidRPr="006A3B55" w:rsidRDefault="005A6E19" w:rsidP="006A4A15">
      <w:pPr>
        <w:pStyle w:val="50"/>
        <w:shd w:val="clear" w:color="auto" w:fill="auto"/>
        <w:spacing w:after="12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2.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Учитывая повышенную точность подтверждения происхождения, достигнутую за счет включения большего количества SNP, нынешний двухэтапный процесс следует заменить единым анализом, основанным на полном наборе примерно из 200 SNP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для подтверждения происхождения, за исключением указанных в Приложении 1.</w:t>
      </w:r>
    </w:p>
    <w:p w14:paraId="2D06C85D" w14:textId="77777777" w:rsidR="001F0C50" w:rsidRPr="006A3B55" w:rsidRDefault="005A6E19" w:rsidP="006A4A15">
      <w:pPr>
        <w:pStyle w:val="50"/>
        <w:shd w:val="clear" w:color="auto" w:fill="auto"/>
        <w:spacing w:after="12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3.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 xml:space="preserve">Требуемые минимумы с точки зрения количества SNP, как указано в текущих рекомендациях ISAG, должны быть масштабированы, что позволит отразить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lastRenderedPageBreak/>
        <w:t>общее количество SNP, используемых д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ля анализа по подтверждению происхождения. Например, если общее количество SNP из тех, что рекомендованы ISAG, уменьшено с 200 до 196 (как в текущей ситуации), то минимальное количество SNP, доступное в профиле каждого животного и потенциального родителя,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должно быть увеличено до 186 (то есть: с 95% усечением), исходя из текущего минимума ISAG, равного 95 из 100.</w:t>
      </w:r>
    </w:p>
    <w:p w14:paraId="78417465" w14:textId="77777777" w:rsidR="001F0C50" w:rsidRPr="006A3B55" w:rsidRDefault="005A6E19" w:rsidP="006A4A15">
      <w:pPr>
        <w:pStyle w:val="50"/>
        <w:shd w:val="clear" w:color="auto" w:fill="auto"/>
        <w:spacing w:after="12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4.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Для присвоения статуса подтверждения происхождения в соответствии с количеством выявленных несоответствий SNP, ICAR утверждены следующие пересм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отренные правила:</w:t>
      </w:r>
    </w:p>
    <w:p w14:paraId="021B3404" w14:textId="77777777" w:rsidR="001F0C50" w:rsidRPr="006A3B55" w:rsidRDefault="005A6E19" w:rsidP="005E70F2">
      <w:pPr>
        <w:pStyle w:val="50"/>
        <w:shd w:val="clear" w:color="auto" w:fill="auto"/>
        <w:spacing w:after="120"/>
        <w:ind w:left="709"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"/>
        </w:rPr>
        <w:t>Шаг 1: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Провести отдельную проверку для каждой комбинации животного с его зарегистрированным отцом и/или матерью с генотипом SNP. Информативными SNP являются те, в отношении которых животное и заявленный родитель являются гомозиготными, и несоответствие принимает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ся в расчет, когда каждый из них является гомозиготным по разным аллелям в отношении любого информативного SNP. На основании минимальных критериев 186 SNP, доступных для животного и каждого родителя, минимальное количество общих SNP, доступных для проверки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каждой комбинации животное-родитель, составляет 176 (т. е. 196 - (2 x (196-186)) = 176).</w:t>
      </w:r>
    </w:p>
    <w:p w14:paraId="68A73187" w14:textId="77777777" w:rsidR="001F0C50" w:rsidRPr="006A3B55" w:rsidRDefault="005A6E19" w:rsidP="005E70F2">
      <w:pPr>
        <w:pStyle w:val="50"/>
        <w:shd w:val="clear" w:color="auto" w:fill="auto"/>
        <w:spacing w:after="120"/>
        <w:ind w:left="709"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На этом этапе применяются следующие правила присвоения статуса подтверждения происхождение:</w:t>
      </w:r>
    </w:p>
    <w:tbl>
      <w:tblPr>
        <w:tblOverlap w:val="never"/>
        <w:tblW w:w="8363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4"/>
        <w:gridCol w:w="682"/>
        <w:gridCol w:w="3447"/>
      </w:tblGrid>
      <w:tr w:rsidR="00500A6F" w14:paraId="2DBABA64" w14:textId="77777777" w:rsidTr="005E70F2">
        <w:tc>
          <w:tcPr>
            <w:tcW w:w="4234" w:type="dxa"/>
            <w:shd w:val="clear" w:color="auto" w:fill="FFFFFF"/>
          </w:tcPr>
          <w:p w14:paraId="7123EB19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- Количество несоответствий/несовпадений SNP:</w:t>
            </w:r>
          </w:p>
        </w:tc>
        <w:tc>
          <w:tcPr>
            <w:tcW w:w="682" w:type="dxa"/>
            <w:shd w:val="clear" w:color="auto" w:fill="FFFFFF"/>
          </w:tcPr>
          <w:p w14:paraId="09FF13DF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0 - 2</w:t>
            </w:r>
          </w:p>
        </w:tc>
        <w:tc>
          <w:tcPr>
            <w:tcW w:w="3447" w:type="dxa"/>
            <w:shd w:val="clear" w:color="auto" w:fill="FFFFFF"/>
          </w:tcPr>
          <w:p w14:paraId="19AA1A2C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=&gt; Происхождение подтв</w:t>
            </w: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ерждено</w:t>
            </w:r>
          </w:p>
        </w:tc>
      </w:tr>
      <w:tr w:rsidR="00500A6F" w14:paraId="0200F7E9" w14:textId="77777777" w:rsidTr="005E70F2">
        <w:tc>
          <w:tcPr>
            <w:tcW w:w="4234" w:type="dxa"/>
            <w:shd w:val="clear" w:color="auto" w:fill="FFFFFF"/>
          </w:tcPr>
          <w:p w14:paraId="6F8D4ED7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- Количество несоответствий/несовпадений SNP:</w:t>
            </w:r>
          </w:p>
        </w:tc>
        <w:tc>
          <w:tcPr>
            <w:tcW w:w="682" w:type="dxa"/>
            <w:shd w:val="clear" w:color="auto" w:fill="FFFFFF"/>
          </w:tcPr>
          <w:p w14:paraId="1B167702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3 - 5</w:t>
            </w:r>
          </w:p>
        </w:tc>
        <w:tc>
          <w:tcPr>
            <w:tcW w:w="3447" w:type="dxa"/>
            <w:shd w:val="clear" w:color="auto" w:fill="FFFFFF"/>
          </w:tcPr>
          <w:p w14:paraId="47E04697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=&gt; Происхождение недостоверно</w:t>
            </w:r>
          </w:p>
        </w:tc>
      </w:tr>
      <w:tr w:rsidR="00500A6F" w14:paraId="04F20619" w14:textId="77777777" w:rsidTr="005E70F2">
        <w:tc>
          <w:tcPr>
            <w:tcW w:w="4234" w:type="dxa"/>
            <w:shd w:val="clear" w:color="auto" w:fill="FFFFFF"/>
          </w:tcPr>
          <w:p w14:paraId="7A334C14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- Количество несоответствий/несовпадений SNP:</w:t>
            </w:r>
          </w:p>
        </w:tc>
        <w:tc>
          <w:tcPr>
            <w:tcW w:w="682" w:type="dxa"/>
            <w:shd w:val="clear" w:color="auto" w:fill="FFFFFF"/>
          </w:tcPr>
          <w:p w14:paraId="1CFAA271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&gt;5</w:t>
            </w:r>
          </w:p>
        </w:tc>
        <w:tc>
          <w:tcPr>
            <w:tcW w:w="3447" w:type="dxa"/>
            <w:shd w:val="clear" w:color="auto" w:fill="FFFFFF"/>
          </w:tcPr>
          <w:p w14:paraId="56368751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=&gt; Происхождение исключено</w:t>
            </w:r>
          </w:p>
        </w:tc>
      </w:tr>
    </w:tbl>
    <w:p w14:paraId="53E08E20" w14:textId="77777777" w:rsidR="001F0C50" w:rsidRPr="00847C67" w:rsidRDefault="001F0C50" w:rsidP="005E70F2">
      <w:pPr>
        <w:ind w:left="709"/>
        <w:jc w:val="both"/>
      </w:pPr>
    </w:p>
    <w:p w14:paraId="68B93F6F" w14:textId="77777777" w:rsidR="001F0C50" w:rsidRPr="006A3B55" w:rsidRDefault="005A6E19" w:rsidP="005E70F2">
      <w:pPr>
        <w:pStyle w:val="50"/>
        <w:shd w:val="clear" w:color="auto" w:fill="auto"/>
        <w:spacing w:after="120"/>
        <w:ind w:left="709"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"/>
        </w:rPr>
        <w:t>Шаг 2: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В случае, если и отец, и мать имеют статус «происхождение подтверждено» на шаге 1, убедиться, что комбинация этих родителей является приемлемой. В этом случае информативными SNP являются те, в отношении которых оба верифицированных родителя гомозиготны, а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потомство гетерозиготно. Несоответствие имеет место в тех случаях, когда родители гомозиготны по одному и тому же аллелю в отношении любого информативного SNP, а потомство гетерозиготно. В этом случае минимальное количество доступных общих SNP равно 166 (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196 - (3 x (196-186)) = 166).</w:t>
      </w:r>
    </w:p>
    <w:p w14:paraId="25C36F0D" w14:textId="77777777" w:rsidR="001F0C50" w:rsidRPr="006A3B55" w:rsidRDefault="005A6E19" w:rsidP="005E70F2">
      <w:pPr>
        <w:pStyle w:val="50"/>
        <w:shd w:val="clear" w:color="auto" w:fill="auto"/>
        <w:spacing w:after="120"/>
        <w:ind w:left="709"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На этом этапе применяются следующие правила для доказательства статуса подтверждения происхождения для комбинации проверенных родителей:</w:t>
      </w:r>
    </w:p>
    <w:tbl>
      <w:tblPr>
        <w:tblOverlap w:val="never"/>
        <w:tblW w:w="8363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658"/>
        <w:gridCol w:w="3428"/>
      </w:tblGrid>
      <w:tr w:rsidR="00500A6F" w14:paraId="77914036" w14:textId="77777777" w:rsidTr="005E70F2">
        <w:tc>
          <w:tcPr>
            <w:tcW w:w="4277" w:type="dxa"/>
            <w:shd w:val="clear" w:color="auto" w:fill="FFFFFF"/>
          </w:tcPr>
          <w:p w14:paraId="55880483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- Количество несоответствий/несовпадений SNP:</w:t>
            </w:r>
          </w:p>
        </w:tc>
        <w:tc>
          <w:tcPr>
            <w:tcW w:w="658" w:type="dxa"/>
            <w:shd w:val="clear" w:color="auto" w:fill="FFFFFF"/>
          </w:tcPr>
          <w:p w14:paraId="5E21F7AB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0 - 3</w:t>
            </w:r>
          </w:p>
        </w:tc>
        <w:tc>
          <w:tcPr>
            <w:tcW w:w="3428" w:type="dxa"/>
            <w:shd w:val="clear" w:color="auto" w:fill="FFFFFF"/>
          </w:tcPr>
          <w:p w14:paraId="58275268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=&gt; Происхождение подтверждено</w:t>
            </w:r>
          </w:p>
        </w:tc>
      </w:tr>
      <w:tr w:rsidR="00500A6F" w14:paraId="3B4A2EE9" w14:textId="77777777" w:rsidTr="005E70F2">
        <w:tc>
          <w:tcPr>
            <w:tcW w:w="4277" w:type="dxa"/>
            <w:shd w:val="clear" w:color="auto" w:fill="FFFFFF"/>
          </w:tcPr>
          <w:p w14:paraId="1A594F0E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- Коли</w:t>
            </w: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чество несоответствий/несовпадений SNP:</w:t>
            </w:r>
          </w:p>
        </w:tc>
        <w:tc>
          <w:tcPr>
            <w:tcW w:w="658" w:type="dxa"/>
            <w:shd w:val="clear" w:color="auto" w:fill="FFFFFF"/>
          </w:tcPr>
          <w:p w14:paraId="6F3A943D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4 - 7</w:t>
            </w:r>
          </w:p>
        </w:tc>
        <w:tc>
          <w:tcPr>
            <w:tcW w:w="3428" w:type="dxa"/>
            <w:shd w:val="clear" w:color="auto" w:fill="FFFFFF"/>
          </w:tcPr>
          <w:p w14:paraId="3555E54B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=&gt; Происхождение недостоверно</w:t>
            </w:r>
          </w:p>
        </w:tc>
      </w:tr>
      <w:tr w:rsidR="00500A6F" w14:paraId="559F56AD" w14:textId="77777777" w:rsidTr="005E70F2">
        <w:tc>
          <w:tcPr>
            <w:tcW w:w="4277" w:type="dxa"/>
            <w:shd w:val="clear" w:color="auto" w:fill="FFFFFF"/>
          </w:tcPr>
          <w:p w14:paraId="27F6711F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- Количество несоответствий/несовпадений SNP:</w:t>
            </w:r>
          </w:p>
        </w:tc>
        <w:tc>
          <w:tcPr>
            <w:tcW w:w="658" w:type="dxa"/>
            <w:shd w:val="clear" w:color="auto" w:fill="FFFFFF"/>
          </w:tcPr>
          <w:p w14:paraId="345E68E3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&gt;7</w:t>
            </w:r>
          </w:p>
        </w:tc>
        <w:tc>
          <w:tcPr>
            <w:tcW w:w="3428" w:type="dxa"/>
            <w:shd w:val="clear" w:color="auto" w:fill="FFFFFF"/>
          </w:tcPr>
          <w:p w14:paraId="24EA8FE7" w14:textId="77777777" w:rsidR="001F0C50" w:rsidRPr="005E70F2" w:rsidRDefault="005A6E19" w:rsidP="005E70F2">
            <w:pPr>
              <w:pStyle w:val="a4"/>
              <w:shd w:val="clear" w:color="auto" w:fill="auto"/>
              <w:spacing w:before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=&gt; Происхождение исключено</w:t>
            </w:r>
          </w:p>
        </w:tc>
      </w:tr>
    </w:tbl>
    <w:p w14:paraId="5CCD08CE" w14:textId="77777777" w:rsidR="001F0C50" w:rsidRPr="00847C67" w:rsidRDefault="001F0C50" w:rsidP="00B05E6A">
      <w:pPr>
        <w:spacing w:after="120"/>
        <w:jc w:val="both"/>
      </w:pPr>
    </w:p>
    <w:p w14:paraId="40D7BE7F" w14:textId="77777777" w:rsidR="001F0C50" w:rsidRPr="006A3B55" w:rsidRDefault="005A6E19" w:rsidP="006A4A15">
      <w:pPr>
        <w:pStyle w:val="50"/>
        <w:shd w:val="clear" w:color="auto" w:fill="auto"/>
        <w:spacing w:after="12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5.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 xml:space="preserve">Что касается животных, у которых генотипирован только один родитель, только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lastRenderedPageBreak/>
        <w:t xml:space="preserve">те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комбинации животное-родитель, которые получили статус «происхождение принято» на этапе 1, могут претендовать на выдачу организацией официального подтверждения происхождения для этого родителя. Что касается животных, у которых генотипированы оба родителя, т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олько те животные, которые получили статус «происхождение принято» на этапе 2, могут претендовать на выдачу организацией официального подтверждения происхождения, включая обоих родителей.</w:t>
      </w:r>
    </w:p>
    <w:p w14:paraId="2FB3EB0D" w14:textId="77777777" w:rsidR="001F0C50" w:rsidRPr="006A3B55" w:rsidRDefault="005A6E19" w:rsidP="005E70F2">
      <w:pPr>
        <w:pStyle w:val="50"/>
        <w:shd w:val="clear" w:color="auto" w:fill="auto"/>
        <w:spacing w:after="36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6.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В качестве дополнительной услуги для тех организаций, занимающихс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я установлением происхождения, которые получили аккредитацию ICAR, описанный ниже процесс может быть применен ко всем животным, для которых результат подтверждения происхождения на шаге 1 или шаге 2 выше был либо «происхождение недостоверно», либо «происхо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ждение исключено».</w:t>
      </w:r>
    </w:p>
    <w:p w14:paraId="244D0E31" w14:textId="77777777" w:rsidR="001F0C50" w:rsidRPr="006A3B55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Установление происхождения</w:t>
      </w:r>
    </w:p>
    <w:p w14:paraId="3B2637AE" w14:textId="77777777" w:rsidR="001F0C50" w:rsidRPr="006A3B55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В настоящее время не существует международных руководств для организаций, занимающихся установлением происхождения, хотя многие, если не все, поставщики услуг генетической оценки разработали такие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процессы внутри своих организаций. Как и в случае подтверждения происхождения, точность установления происхождения повышается по мере увеличения количества включенных SNP. Для сервиса GenoEx-PSE был определен список из 554 SNP, предназначенных для обмена г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енотипами с участием пользователей сервиса, которые были аккредитованы ICAR для этого уровня анализа происхождения и согласились загрузить эти SNP в базу данных GenoEx-PSE на сайте Interbull Center, что является требованием для их скачивания. Эти 554 SNP в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ключают 200 SNP, рекомендованных ISAG для подтверждения происхождения крупного рогатого скота, а также дополнительную группу из 354 SNP. В дополнение к 200 SNP, предназначенным для подтверждения происхождения, еще 75 SNP для установления происхождения расп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ределены по хромосомам с 1 по 29, в то время как остальные 279 SNP были выбраны только из десяти хромосом, а именно 1, 2, 3, 5, 7, 8, 11, 13, 19 и 21. Эта стратегия выбора SNP была принята для снижения точности подстановки недостающих данных генотипа и пре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дсказания генома в случае, если пользователи сервиса GenoEx-PSE попытаются использовать полученный в результате обмена генотип в подобных целях, даже если это явно запрещено в соответствии с Соглашением о пользовании сервисом GenoEx-PSE.</w:t>
      </w:r>
    </w:p>
    <w:p w14:paraId="4432EBCC" w14:textId="77777777" w:rsidR="001F0C50" w:rsidRPr="006A3B55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Чтобы соответствов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ать принципам и пересмотренным требованиям по подтверждению происхождения, изложенным выше, далее приведены рекомендации, одобренные ICAR для установления происхождения:</w:t>
      </w:r>
    </w:p>
    <w:p w14:paraId="708CC5ED" w14:textId="77777777" w:rsidR="001F0C50" w:rsidRPr="006A3B55" w:rsidRDefault="005A6E19" w:rsidP="006A4A15">
      <w:pPr>
        <w:pStyle w:val="50"/>
        <w:shd w:val="clear" w:color="auto" w:fill="auto"/>
        <w:spacing w:after="12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1.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Рабочая группа ICAR по ДНК может в любое время выявлять и утверждать SNP из числа в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ключенных в сервис GenoEx-PSE, которые должны быть исключены при установлении происхождения и которые перечислены в Приложении 2. Любой такой SNP будет включать SNP, утвержденные для исключения при подтверждении происхождения, а также может включать другие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SNP при наличии достаточных оснований.</w:t>
      </w:r>
    </w:p>
    <w:p w14:paraId="6392069D" w14:textId="77777777" w:rsidR="001F0C50" w:rsidRPr="006A3B55" w:rsidRDefault="005A6E19" w:rsidP="006A4A15">
      <w:pPr>
        <w:pStyle w:val="50"/>
        <w:shd w:val="clear" w:color="auto" w:fill="auto"/>
        <w:spacing w:after="12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2.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Организации, оказывающие услуги по установлению происхождения, должны внедрить процедуры обеспечения качества, обеспечивающие следующие параметры:</w:t>
      </w:r>
    </w:p>
    <w:p w14:paraId="74149610" w14:textId="77777777" w:rsidR="001F0C50" w:rsidRPr="006A3B55" w:rsidRDefault="005A6E19" w:rsidP="005E70F2">
      <w:pPr>
        <w:pStyle w:val="50"/>
        <w:shd w:val="clear" w:color="auto" w:fill="auto"/>
        <w:spacing w:after="120"/>
        <w:ind w:left="1276" w:hanging="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lastRenderedPageBreak/>
        <w:t>•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Установленный родитель старше животного и не может быть его пото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мком</w:t>
      </w:r>
    </w:p>
    <w:p w14:paraId="54CDECA1" w14:textId="77777777" w:rsidR="001F0C50" w:rsidRPr="006A3B55" w:rsidRDefault="005A6E19" w:rsidP="005E70F2">
      <w:pPr>
        <w:pStyle w:val="50"/>
        <w:shd w:val="clear" w:color="auto" w:fill="auto"/>
        <w:spacing w:after="120"/>
        <w:ind w:left="1276" w:hanging="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•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Установленный родитель имеет соответствующий пол, то есть производители — самцы, а матери — самки.</w:t>
      </w:r>
    </w:p>
    <w:p w14:paraId="7AFBD066" w14:textId="77777777" w:rsidR="00817293" w:rsidRPr="006A3B55" w:rsidRDefault="005A6E19" w:rsidP="005E70F2">
      <w:pPr>
        <w:pStyle w:val="50"/>
        <w:shd w:val="clear" w:color="auto" w:fill="auto"/>
        <w:spacing w:after="120"/>
        <w:ind w:left="1276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•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Генетически идентичные животные идентифицируются заранее, так что установленный родитель указывается как любой из генетически идентичных братьев и с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естер.</w:t>
      </w:r>
    </w:p>
    <w:p w14:paraId="2976D92F" w14:textId="77777777" w:rsidR="001F0C50" w:rsidRPr="006A3B55" w:rsidRDefault="005A6E19" w:rsidP="006A4A15">
      <w:pPr>
        <w:pStyle w:val="50"/>
        <w:shd w:val="clear" w:color="auto" w:fill="auto"/>
        <w:spacing w:after="12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3.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По результатам недавней оценки списков SNP, связанных с различными чипами SNP, используемыми на международном уровне для генотипирования молочного и/или мясного скота, каждый чип имеет не менее 500 SNP, общих с 554 SNP, рекомендованными для устан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овления происхождения. Учитывая возможный уровень распознавания генотипов для животного и любого потенциального родителя, подлежащего установлению, ICAR утвердил положение, что каждый генотип, включенный в такой анализ, имеет минимум 450 из 554 SNP, доступ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ных для процесса установления происхождения.</w:t>
      </w:r>
    </w:p>
    <w:p w14:paraId="4F76AAED" w14:textId="77777777" w:rsidR="001F0C50" w:rsidRPr="006A3B55" w:rsidRDefault="005A6E19" w:rsidP="006A4A15">
      <w:pPr>
        <w:pStyle w:val="50"/>
        <w:shd w:val="clear" w:color="auto" w:fill="auto"/>
        <w:spacing w:after="12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4.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>Учитывая, что SNP-чипы для генотипирования, которые активно используются в популяциях крупного рогатого скота на международном уровне, содержат различное количество 554 SNP, определенных для включения в серви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с GenoEx-PSE, результаты установления происхождения должны основываться на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"/>
        </w:rPr>
        <w:t>процентной доле SNP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, имеющихся у животного и любого рассматриваемого потенциального родителя. Для присвоения статуса установления родителя рекомендуется следующее:</w:t>
      </w:r>
    </w:p>
    <w:p w14:paraId="1688318C" w14:textId="77777777" w:rsidR="001F0C50" w:rsidRPr="006A3B55" w:rsidRDefault="005A6E19" w:rsidP="005E70F2">
      <w:pPr>
        <w:pStyle w:val="50"/>
        <w:shd w:val="clear" w:color="auto" w:fill="auto"/>
        <w:spacing w:after="120"/>
        <w:ind w:left="709"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"/>
        </w:rPr>
        <w:t>Шаг 1: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В рамках о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тдельных процессов следует стремиться установить либо отца (т. е. самца старше животного с наименьшим количеством несоответствий), либо матери (т. е. самку старше животного с наименьшим количеством несоответствий) животного на основе доступных генотипов SN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P. Исходя из минимальных критериев для включения каждого генотипа SNP, как указано в пункте 3 выше, минимальное количество общих SNP у животного и каждого из его родителей будет равно 350.</w:t>
      </w:r>
    </w:p>
    <w:p w14:paraId="01E18D79" w14:textId="77777777" w:rsidR="001F0C50" w:rsidRPr="006A3B55" w:rsidRDefault="005A6E19" w:rsidP="005E70F2">
      <w:pPr>
        <w:pStyle w:val="50"/>
        <w:shd w:val="clear" w:color="auto" w:fill="auto"/>
        <w:spacing w:after="120"/>
        <w:ind w:left="709"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На этом шаге применяются следующие правила для присвоения статуса к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аждому обнаруженному родителю:</w:t>
      </w:r>
    </w:p>
    <w:tbl>
      <w:tblPr>
        <w:tblOverlap w:val="never"/>
        <w:tblW w:w="8789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2"/>
        <w:gridCol w:w="1411"/>
        <w:gridCol w:w="2376"/>
      </w:tblGrid>
      <w:tr w:rsidR="00500A6F" w14:paraId="4F47A981" w14:textId="77777777" w:rsidTr="005E70F2">
        <w:tc>
          <w:tcPr>
            <w:tcW w:w="5002" w:type="dxa"/>
            <w:shd w:val="clear" w:color="auto" w:fill="FFFFFF"/>
          </w:tcPr>
          <w:p w14:paraId="44FD049E" w14:textId="77777777" w:rsidR="001F0C50" w:rsidRPr="006A3B55" w:rsidRDefault="005A6E19" w:rsidP="005E70F2">
            <w:pPr>
              <w:pStyle w:val="a4"/>
              <w:shd w:val="clear" w:color="auto" w:fill="auto"/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- Процент общих SNP с несоответствием:</w:t>
            </w:r>
          </w:p>
        </w:tc>
        <w:tc>
          <w:tcPr>
            <w:tcW w:w="1411" w:type="dxa"/>
            <w:shd w:val="clear" w:color="auto" w:fill="FFFFFF"/>
          </w:tcPr>
          <w:p w14:paraId="39A6FAF1" w14:textId="77777777" w:rsidR="001F0C50" w:rsidRPr="005E70F2" w:rsidRDefault="005A6E19" w:rsidP="005E70F2">
            <w:pPr>
              <w:pStyle w:val="a4"/>
              <w:shd w:val="clear" w:color="auto" w:fill="auto"/>
              <w:spacing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от 0 до &lt;1,0%</w:t>
            </w:r>
          </w:p>
        </w:tc>
        <w:tc>
          <w:tcPr>
            <w:tcW w:w="2376" w:type="dxa"/>
            <w:shd w:val="clear" w:color="auto" w:fill="FFFFFF"/>
          </w:tcPr>
          <w:p w14:paraId="55F5BC5A" w14:textId="77777777" w:rsidR="001F0C50" w:rsidRPr="005E70F2" w:rsidRDefault="005A6E19" w:rsidP="005E70F2">
            <w:pPr>
              <w:pStyle w:val="a4"/>
              <w:shd w:val="clear" w:color="auto" w:fill="auto"/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=&gt; Родитель установлен</w:t>
            </w:r>
          </w:p>
        </w:tc>
      </w:tr>
      <w:tr w:rsidR="00500A6F" w14:paraId="02435CF1" w14:textId="77777777" w:rsidTr="005E70F2">
        <w:tc>
          <w:tcPr>
            <w:tcW w:w="5002" w:type="dxa"/>
            <w:shd w:val="clear" w:color="auto" w:fill="FFFFFF"/>
          </w:tcPr>
          <w:p w14:paraId="0B3E876B" w14:textId="77777777" w:rsidR="001F0C50" w:rsidRPr="006A3B55" w:rsidRDefault="005A6E19" w:rsidP="005E70F2">
            <w:pPr>
              <w:pStyle w:val="a4"/>
              <w:shd w:val="clear" w:color="auto" w:fill="auto"/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- Процент общих SNP с несоответствием:</w:t>
            </w:r>
          </w:p>
        </w:tc>
        <w:tc>
          <w:tcPr>
            <w:tcW w:w="1411" w:type="dxa"/>
            <w:shd w:val="clear" w:color="auto" w:fill="FFFFFF"/>
          </w:tcPr>
          <w:p w14:paraId="78DDC745" w14:textId="77777777" w:rsidR="001F0C50" w:rsidRPr="005E70F2" w:rsidRDefault="005A6E19" w:rsidP="005E70F2">
            <w:pPr>
              <w:pStyle w:val="a4"/>
              <w:shd w:val="clear" w:color="auto" w:fill="auto"/>
              <w:spacing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от 1,0 до &lt;3,0%</w:t>
            </w:r>
          </w:p>
        </w:tc>
        <w:tc>
          <w:tcPr>
            <w:tcW w:w="2376" w:type="dxa"/>
            <w:shd w:val="clear" w:color="auto" w:fill="FFFFFF"/>
          </w:tcPr>
          <w:p w14:paraId="6F329321" w14:textId="77777777" w:rsidR="001F0C50" w:rsidRPr="005E70F2" w:rsidRDefault="005A6E19" w:rsidP="005E70F2">
            <w:pPr>
              <w:pStyle w:val="a4"/>
              <w:shd w:val="clear" w:color="auto" w:fill="auto"/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=&gt; Родитель недостоверный</w:t>
            </w:r>
          </w:p>
        </w:tc>
      </w:tr>
      <w:tr w:rsidR="00500A6F" w14:paraId="3AFE8F86" w14:textId="77777777" w:rsidTr="005E70F2">
        <w:tc>
          <w:tcPr>
            <w:tcW w:w="5002" w:type="dxa"/>
            <w:shd w:val="clear" w:color="auto" w:fill="FFFFFF"/>
          </w:tcPr>
          <w:p w14:paraId="6D513814" w14:textId="77777777" w:rsidR="001F0C50" w:rsidRPr="006A3B55" w:rsidRDefault="005A6E19" w:rsidP="005E70F2">
            <w:pPr>
              <w:pStyle w:val="a4"/>
              <w:shd w:val="clear" w:color="auto" w:fill="auto"/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- Процент общих SNP с несоответствием:</w:t>
            </w:r>
          </w:p>
        </w:tc>
        <w:tc>
          <w:tcPr>
            <w:tcW w:w="1411" w:type="dxa"/>
            <w:shd w:val="clear" w:color="auto" w:fill="FFFFFF"/>
          </w:tcPr>
          <w:p w14:paraId="5FE14FC0" w14:textId="77777777" w:rsidR="001F0C50" w:rsidRPr="005E70F2" w:rsidRDefault="005A6E19" w:rsidP="005E70F2">
            <w:pPr>
              <w:pStyle w:val="a4"/>
              <w:shd w:val="clear" w:color="auto" w:fill="auto"/>
              <w:spacing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≥3,0%</w:t>
            </w:r>
          </w:p>
        </w:tc>
        <w:tc>
          <w:tcPr>
            <w:tcW w:w="2376" w:type="dxa"/>
            <w:shd w:val="clear" w:color="auto" w:fill="FFFFFF"/>
          </w:tcPr>
          <w:p w14:paraId="61BD6CAA" w14:textId="77777777" w:rsidR="001F0C50" w:rsidRPr="005E70F2" w:rsidRDefault="005A6E19" w:rsidP="005E70F2">
            <w:pPr>
              <w:pStyle w:val="a4"/>
              <w:shd w:val="clear" w:color="auto" w:fill="auto"/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=&gt; Родитель </w:t>
            </w: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исключен</w:t>
            </w:r>
          </w:p>
        </w:tc>
      </w:tr>
    </w:tbl>
    <w:p w14:paraId="52D4D262" w14:textId="77777777" w:rsidR="001F0C50" w:rsidRPr="00847C67" w:rsidRDefault="001F0C50" w:rsidP="005E70F2">
      <w:pPr>
        <w:ind w:left="709"/>
        <w:jc w:val="both"/>
      </w:pPr>
    </w:p>
    <w:p w14:paraId="4997D71D" w14:textId="77777777" w:rsidR="001F0C50" w:rsidRPr="006A3B55" w:rsidRDefault="005A6E19" w:rsidP="005E70F2">
      <w:pPr>
        <w:pStyle w:val="50"/>
        <w:shd w:val="clear" w:color="auto" w:fill="auto"/>
        <w:spacing w:after="120"/>
        <w:ind w:left="709"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"/>
        </w:rPr>
        <w:t>Шаг 2: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В случае, если у животного есть и отец, и мать со статусом «родитель установлен» на шаге 1, эта комбинация родителей также должна быть подтверждена.</w:t>
      </w:r>
    </w:p>
    <w:p w14:paraId="61244162" w14:textId="77777777" w:rsidR="001F0C50" w:rsidRPr="006A3B55" w:rsidRDefault="005A6E19" w:rsidP="005E70F2">
      <w:pPr>
        <w:pStyle w:val="50"/>
        <w:shd w:val="clear" w:color="auto" w:fill="auto"/>
        <w:spacing w:after="120"/>
        <w:ind w:left="709"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Для этого шага применяются следующие правила присвоения статуса комбинации установленных родителей:</w:t>
      </w:r>
    </w:p>
    <w:tbl>
      <w:tblPr>
        <w:tblOverlap w:val="never"/>
        <w:tblW w:w="8789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1363"/>
        <w:gridCol w:w="2357"/>
      </w:tblGrid>
      <w:tr w:rsidR="00500A6F" w14:paraId="41927F09" w14:textId="77777777" w:rsidTr="005E70F2">
        <w:tc>
          <w:tcPr>
            <w:tcW w:w="5069" w:type="dxa"/>
            <w:shd w:val="clear" w:color="auto" w:fill="FFFFFF"/>
          </w:tcPr>
          <w:p w14:paraId="46ED423D" w14:textId="77777777" w:rsidR="001F0C50" w:rsidRPr="006A3B55" w:rsidRDefault="005A6E19" w:rsidP="005E70F2">
            <w:pPr>
              <w:pStyle w:val="a4"/>
              <w:shd w:val="clear" w:color="auto" w:fill="auto"/>
              <w:spacing w:before="2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7C67">
              <w:rPr>
                <w:rFonts w:ascii="Times New Roman" w:eastAsia="Arial" w:hAnsi="Times New Roman" w:cs="Times New Roman"/>
                <w:szCs w:val="24"/>
                <w:lang w:val="ru"/>
              </w:rPr>
              <w:t>- Проц</w:t>
            </w:r>
            <w:r w:rsidRPr="00847C67">
              <w:rPr>
                <w:rFonts w:ascii="Times New Roman" w:eastAsia="Arial" w:hAnsi="Times New Roman" w:cs="Times New Roman"/>
                <w:szCs w:val="24"/>
                <w:lang w:val="ru"/>
              </w:rPr>
              <w:t>ент общих SNP с несоответствием:</w:t>
            </w:r>
          </w:p>
        </w:tc>
        <w:tc>
          <w:tcPr>
            <w:tcW w:w="1363" w:type="dxa"/>
            <w:shd w:val="clear" w:color="auto" w:fill="FFFFFF"/>
          </w:tcPr>
          <w:p w14:paraId="1712FEBF" w14:textId="77777777" w:rsidR="001F0C50" w:rsidRPr="00847C67" w:rsidRDefault="005A6E19" w:rsidP="005E70F2">
            <w:pPr>
              <w:pStyle w:val="a4"/>
              <w:shd w:val="clear" w:color="auto" w:fill="auto"/>
              <w:spacing w:before="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67">
              <w:rPr>
                <w:rFonts w:ascii="Times New Roman" w:eastAsia="Arial" w:hAnsi="Times New Roman" w:cs="Times New Roman"/>
                <w:szCs w:val="24"/>
                <w:lang w:val="ru"/>
              </w:rPr>
              <w:t>от 0 до &lt;1,5%</w:t>
            </w:r>
          </w:p>
        </w:tc>
        <w:tc>
          <w:tcPr>
            <w:tcW w:w="2357" w:type="dxa"/>
            <w:shd w:val="clear" w:color="auto" w:fill="FFFFFF"/>
          </w:tcPr>
          <w:p w14:paraId="4EC39E08" w14:textId="77777777" w:rsidR="001F0C50" w:rsidRPr="00847C67" w:rsidRDefault="005A6E19" w:rsidP="005E70F2">
            <w:pPr>
              <w:pStyle w:val="a4"/>
              <w:shd w:val="clear" w:color="auto" w:fill="auto"/>
              <w:spacing w:before="20" w:line="240" w:lineRule="auto"/>
              <w:rPr>
                <w:rFonts w:ascii="Times New Roman" w:hAnsi="Times New Roman" w:cs="Times New Roman"/>
                <w:szCs w:val="24"/>
              </w:rPr>
            </w:pPr>
            <w:r w:rsidRPr="00847C67">
              <w:rPr>
                <w:rFonts w:ascii="Times New Roman" w:eastAsia="Arial" w:hAnsi="Times New Roman" w:cs="Times New Roman"/>
                <w:szCs w:val="24"/>
                <w:lang w:val="ru"/>
              </w:rPr>
              <w:t>=&gt; Родители выявлены</w:t>
            </w:r>
          </w:p>
        </w:tc>
      </w:tr>
      <w:tr w:rsidR="00500A6F" w14:paraId="7378CE25" w14:textId="77777777" w:rsidTr="005E70F2">
        <w:tc>
          <w:tcPr>
            <w:tcW w:w="5069" w:type="dxa"/>
            <w:shd w:val="clear" w:color="auto" w:fill="FFFFFF"/>
          </w:tcPr>
          <w:p w14:paraId="2C2045DA" w14:textId="77777777" w:rsidR="001F0C50" w:rsidRPr="006A3B55" w:rsidRDefault="005A6E19" w:rsidP="005E70F2">
            <w:pPr>
              <w:pStyle w:val="a4"/>
              <w:shd w:val="clear" w:color="auto" w:fill="auto"/>
              <w:spacing w:before="2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7C67">
              <w:rPr>
                <w:rFonts w:ascii="Times New Roman" w:eastAsia="Arial" w:hAnsi="Times New Roman" w:cs="Times New Roman"/>
                <w:szCs w:val="24"/>
                <w:lang w:val="ru"/>
              </w:rPr>
              <w:t>- Процент общих SNP с несоответствием:</w:t>
            </w:r>
          </w:p>
        </w:tc>
        <w:tc>
          <w:tcPr>
            <w:tcW w:w="1363" w:type="dxa"/>
            <w:shd w:val="clear" w:color="auto" w:fill="FFFFFF"/>
          </w:tcPr>
          <w:p w14:paraId="6D247DE8" w14:textId="77777777" w:rsidR="001F0C50" w:rsidRPr="00847C67" w:rsidRDefault="005A6E19" w:rsidP="005E70F2">
            <w:pPr>
              <w:pStyle w:val="a4"/>
              <w:shd w:val="clear" w:color="auto" w:fill="auto"/>
              <w:spacing w:before="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67">
              <w:rPr>
                <w:rFonts w:ascii="Times New Roman" w:eastAsia="Arial" w:hAnsi="Times New Roman" w:cs="Times New Roman"/>
                <w:szCs w:val="24"/>
                <w:lang w:val="ru"/>
              </w:rPr>
              <w:t>от 1,5 до &lt;4,0%</w:t>
            </w:r>
          </w:p>
        </w:tc>
        <w:tc>
          <w:tcPr>
            <w:tcW w:w="2357" w:type="dxa"/>
            <w:shd w:val="clear" w:color="auto" w:fill="FFFFFF"/>
          </w:tcPr>
          <w:p w14:paraId="2BFF1296" w14:textId="77777777" w:rsidR="001F0C50" w:rsidRPr="00847C67" w:rsidRDefault="005A6E19" w:rsidP="005E70F2">
            <w:pPr>
              <w:pStyle w:val="a4"/>
              <w:shd w:val="clear" w:color="auto" w:fill="auto"/>
              <w:spacing w:before="20" w:line="240" w:lineRule="auto"/>
              <w:rPr>
                <w:rFonts w:ascii="Times New Roman" w:hAnsi="Times New Roman" w:cs="Times New Roman"/>
                <w:szCs w:val="24"/>
              </w:rPr>
            </w:pPr>
            <w:r w:rsidRPr="00847C67">
              <w:rPr>
                <w:rFonts w:ascii="Times New Roman" w:eastAsia="Arial" w:hAnsi="Times New Roman" w:cs="Times New Roman"/>
                <w:szCs w:val="24"/>
                <w:lang w:val="ru"/>
              </w:rPr>
              <w:t>=&gt; Родители недостоверны</w:t>
            </w:r>
          </w:p>
        </w:tc>
      </w:tr>
      <w:tr w:rsidR="00500A6F" w14:paraId="3970010B" w14:textId="77777777" w:rsidTr="005E70F2">
        <w:tc>
          <w:tcPr>
            <w:tcW w:w="5069" w:type="dxa"/>
            <w:shd w:val="clear" w:color="auto" w:fill="FFFFFF"/>
          </w:tcPr>
          <w:p w14:paraId="7C89507B" w14:textId="77777777" w:rsidR="001F0C50" w:rsidRPr="006A3B55" w:rsidRDefault="005A6E19" w:rsidP="005E70F2">
            <w:pPr>
              <w:pStyle w:val="a4"/>
              <w:shd w:val="clear" w:color="auto" w:fill="auto"/>
              <w:spacing w:before="2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7C67">
              <w:rPr>
                <w:rFonts w:ascii="Times New Roman" w:eastAsia="Arial" w:hAnsi="Times New Roman" w:cs="Times New Roman"/>
                <w:szCs w:val="24"/>
                <w:lang w:val="ru"/>
              </w:rPr>
              <w:lastRenderedPageBreak/>
              <w:t>- Процент общих SNP с несоответствием:</w:t>
            </w:r>
          </w:p>
        </w:tc>
        <w:tc>
          <w:tcPr>
            <w:tcW w:w="1363" w:type="dxa"/>
            <w:shd w:val="clear" w:color="auto" w:fill="FFFFFF"/>
          </w:tcPr>
          <w:p w14:paraId="3AE18661" w14:textId="77777777" w:rsidR="001F0C50" w:rsidRPr="00847C67" w:rsidRDefault="005A6E19" w:rsidP="005E70F2">
            <w:pPr>
              <w:pStyle w:val="a4"/>
              <w:shd w:val="clear" w:color="auto" w:fill="auto"/>
              <w:spacing w:before="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67">
              <w:rPr>
                <w:rFonts w:ascii="Times New Roman" w:eastAsia="Arial" w:hAnsi="Times New Roman" w:cs="Times New Roman"/>
                <w:szCs w:val="24"/>
                <w:lang w:val="ru"/>
              </w:rPr>
              <w:t>≥4,0%</w:t>
            </w:r>
          </w:p>
        </w:tc>
        <w:tc>
          <w:tcPr>
            <w:tcW w:w="2357" w:type="dxa"/>
            <w:shd w:val="clear" w:color="auto" w:fill="FFFFFF"/>
          </w:tcPr>
          <w:p w14:paraId="78ED0F47" w14:textId="77777777" w:rsidR="001F0C50" w:rsidRPr="00847C67" w:rsidRDefault="005A6E19" w:rsidP="005E70F2">
            <w:pPr>
              <w:pStyle w:val="a4"/>
              <w:shd w:val="clear" w:color="auto" w:fill="auto"/>
              <w:spacing w:before="20" w:line="240" w:lineRule="auto"/>
              <w:rPr>
                <w:rFonts w:ascii="Times New Roman" w:hAnsi="Times New Roman" w:cs="Times New Roman"/>
                <w:szCs w:val="24"/>
              </w:rPr>
            </w:pPr>
            <w:r w:rsidRPr="00847C67">
              <w:rPr>
                <w:rFonts w:ascii="Times New Roman" w:eastAsia="Arial" w:hAnsi="Times New Roman" w:cs="Times New Roman"/>
                <w:szCs w:val="24"/>
                <w:lang w:val="ru"/>
              </w:rPr>
              <w:t>=&gt; Родители исключены</w:t>
            </w:r>
          </w:p>
        </w:tc>
      </w:tr>
    </w:tbl>
    <w:p w14:paraId="18E4CC5B" w14:textId="77777777" w:rsidR="001F0C50" w:rsidRPr="00847C67" w:rsidRDefault="001F0C50" w:rsidP="005E70F2">
      <w:pPr>
        <w:ind w:left="709"/>
        <w:jc w:val="both"/>
      </w:pPr>
    </w:p>
    <w:p w14:paraId="1C806BDE" w14:textId="77777777" w:rsidR="00B05E6A" w:rsidRPr="006A3B55" w:rsidRDefault="005A6E19" w:rsidP="006A4A15">
      <w:pPr>
        <w:pStyle w:val="50"/>
        <w:shd w:val="clear" w:color="auto" w:fill="auto"/>
        <w:spacing w:after="12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5.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ab/>
        <w:t xml:space="preserve">Что касается животных,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имеющих только одного родителя со статусом «родитель установлен» на этапе 1, только эта комбинация животное-родитель может претендовать на выдачу организацией официального подтверждения происхождения для этого родителя. Что касается животных, имеющих обоих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 родителей со статусом «родители установлены» на этапе 1, только животные, получившие статус «родители установлены» на этапе 2, могут претендовать на выдачу организацией официального подтверждения происхождения со статусом «происхождение подтверждено» для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обоих родителей.</w:t>
      </w:r>
    </w:p>
    <w:p w14:paraId="05B6EEF5" w14:textId="77777777" w:rsidR="00817293" w:rsidRPr="006A3B55" w:rsidRDefault="005A6E19" w:rsidP="00817293">
      <w:pPr>
        <w:spacing w:after="120"/>
        <w:jc w:val="both"/>
        <w:rPr>
          <w:lang w:val="ru-RU"/>
        </w:rPr>
      </w:pPr>
      <w:r w:rsidRPr="006A3B55">
        <w:rPr>
          <w:lang w:val="ru-RU"/>
        </w:rPr>
        <w:br w:type="page"/>
      </w:r>
    </w:p>
    <w:p w14:paraId="55F9CF2C" w14:textId="77777777" w:rsidR="001F0C50" w:rsidRPr="006A3B55" w:rsidRDefault="005A6E19" w:rsidP="005E70F2">
      <w:pPr>
        <w:pStyle w:val="50"/>
        <w:shd w:val="clear" w:color="auto" w:fill="auto"/>
        <w:spacing w:after="120"/>
        <w:ind w:left="1418" w:hanging="1418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ПРИЛОЖЕНИЕ 1: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SNP в составе ISAG 200, которые будут исключены из подтверждения происхождения для целей аккредитации ICAR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1560"/>
        <w:gridCol w:w="2563"/>
      </w:tblGrid>
      <w:tr w:rsidR="00500A6F" w14:paraId="3469799F" w14:textId="77777777" w:rsidTr="009212D4"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D9E3A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Название</w:t>
            </w:r>
            <w:r w:rsidRPr="006A3B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SNP (</w:t>
            </w: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чипы</w:t>
            </w:r>
            <w:r w:rsidRPr="006A3B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Illumina Bead)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C0FB5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Группа ISAG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35751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Причина исключения</w:t>
            </w:r>
          </w:p>
        </w:tc>
      </w:tr>
      <w:tr w:rsidR="00500A6F" w14:paraId="5A54E44B" w14:textId="77777777" w:rsidTr="009212D4"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B8F45" w14:textId="77777777" w:rsidR="001F0C50" w:rsidRPr="005E70F2" w:rsidRDefault="005A6E19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A3B55">
              <w:rPr>
                <w:rFonts w:ascii="Times New Roman" w:eastAsia="Arial" w:hAnsi="Times New Roman" w:cs="Times New Roman"/>
                <w:sz w:val="24"/>
                <w:szCs w:val="24"/>
              </w:rPr>
              <w:t>ARS-USMARC-Parent-DQ837645-rs29015870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420FC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Основной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231FF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Факторы, связанные с кластеризацией*</w:t>
            </w:r>
          </w:p>
        </w:tc>
      </w:tr>
      <w:tr w:rsidR="00500A6F" w14:paraId="3C25C3E1" w14:textId="77777777" w:rsidTr="009212D4"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14:paraId="05C6F73A" w14:textId="77777777" w:rsidR="001F0C50" w:rsidRPr="005E70F2" w:rsidRDefault="005A6E19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ARS-BFGL-NGS-76191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3D0727B7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Вспомогательный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B616F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Факторы, связанные с кластеризацией*</w:t>
            </w:r>
          </w:p>
        </w:tc>
      </w:tr>
      <w:tr w:rsidR="00500A6F" w14:paraId="46B8ADD4" w14:textId="77777777" w:rsidTr="009212D4"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14:paraId="0FD85F70" w14:textId="77777777" w:rsidR="001F0C50" w:rsidRPr="005E70F2" w:rsidRDefault="005A6E19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BTA-100621-no-rs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7AD21736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Вспомогательный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1766A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Факторы, связанные с кластеризацией*</w:t>
            </w:r>
          </w:p>
        </w:tc>
      </w:tr>
      <w:tr w:rsidR="00500A6F" w14:paraId="2E1EDC4C" w14:textId="77777777" w:rsidTr="009212D4"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17861" w14:textId="77777777" w:rsidR="001F0C50" w:rsidRPr="005E70F2" w:rsidRDefault="005A6E19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ARS-BFGL-NGS-99210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3FD54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Вспомогательный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3C0F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Триаллельный**</w:t>
            </w:r>
          </w:p>
        </w:tc>
      </w:tr>
    </w:tbl>
    <w:p w14:paraId="70F62912" w14:textId="77777777" w:rsidR="001F0C50" w:rsidRPr="005E70F2" w:rsidRDefault="005A6E19" w:rsidP="005E70F2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E70F2">
        <w:rPr>
          <w:rFonts w:ascii="Times New Roman" w:eastAsia="Arial" w:hAnsi="Times New Roman" w:cs="Times New Roman"/>
          <w:sz w:val="20"/>
          <w:szCs w:val="24"/>
          <w:lang w:val="ru"/>
        </w:rPr>
        <w:t>* - МакКлюр и др. (2015)</w:t>
      </w:r>
    </w:p>
    <w:p w14:paraId="2E929319" w14:textId="77777777" w:rsidR="001F0C50" w:rsidRPr="006A3B55" w:rsidRDefault="005A6E19" w:rsidP="005E70F2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5E70F2">
        <w:rPr>
          <w:rFonts w:ascii="Times New Roman" w:eastAsia="Arial" w:hAnsi="Times New Roman" w:cs="Times New Roman"/>
          <w:sz w:val="20"/>
          <w:szCs w:val="24"/>
          <w:lang w:val="ru"/>
        </w:rPr>
        <w:t>** - Основано на проверке последовательности, что является особенно проблематичным для микрочипов.</w:t>
      </w:r>
    </w:p>
    <w:p w14:paraId="4821EDCA" w14:textId="77777777" w:rsidR="001F0C50" w:rsidRPr="006A3B55" w:rsidRDefault="001F0C50" w:rsidP="005E70F2">
      <w:pPr>
        <w:jc w:val="both"/>
        <w:rPr>
          <w:sz w:val="20"/>
          <w:lang w:val="ru-RU"/>
        </w:rPr>
      </w:pPr>
    </w:p>
    <w:p w14:paraId="58AC31B4" w14:textId="77777777" w:rsidR="001F0C50" w:rsidRPr="006A3B55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Со временем могут быть добавлены SNP, связанные с другими платформами и/или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технологиями чипов.</w:t>
      </w:r>
    </w:p>
    <w:p w14:paraId="60FB9FA1" w14:textId="77777777" w:rsidR="005E70F2" w:rsidRPr="006A3B55" w:rsidRDefault="005E70F2" w:rsidP="005E70F2">
      <w:pPr>
        <w:pStyle w:val="50"/>
        <w:shd w:val="clear" w:color="auto" w:fill="auto"/>
        <w:spacing w:after="84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3027CA24" w14:textId="77777777" w:rsidR="001F0C50" w:rsidRPr="006A3B55" w:rsidRDefault="005A6E19" w:rsidP="005E70F2">
      <w:pPr>
        <w:pStyle w:val="50"/>
        <w:shd w:val="clear" w:color="auto" w:fill="auto"/>
        <w:spacing w:after="120"/>
        <w:ind w:left="1418" w:hanging="1418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ПРИЛОЖЕНИЕ 2: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SNP, включенный в GenoEx-PSE, будет исключен из определения происхождения для аккредитации ICAR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1560"/>
        <w:gridCol w:w="2563"/>
      </w:tblGrid>
      <w:tr w:rsidR="00500A6F" w14:paraId="0FE293E1" w14:textId="77777777" w:rsidTr="009212D4"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29B14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Название</w:t>
            </w:r>
            <w:r w:rsidRPr="006A3B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SNP (</w:t>
            </w: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чипы</w:t>
            </w:r>
            <w:r w:rsidRPr="006A3B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Illumina Bead)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3F322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Группа ISAG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320EB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Причина исключения</w:t>
            </w:r>
          </w:p>
        </w:tc>
      </w:tr>
      <w:tr w:rsidR="00500A6F" w14:paraId="3AEB6C39" w14:textId="77777777" w:rsidTr="009212D4"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FD8ED" w14:textId="77777777" w:rsidR="001F0C50" w:rsidRPr="005E70F2" w:rsidRDefault="005A6E19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A3B55">
              <w:rPr>
                <w:rFonts w:ascii="Times New Roman" w:eastAsia="Arial" w:hAnsi="Times New Roman" w:cs="Times New Roman"/>
                <w:sz w:val="24"/>
                <w:szCs w:val="24"/>
              </w:rPr>
              <w:t>ARS-USMARC-Parent-DQ837645-rs29015870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1B515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Основной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CB293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Факторы, связанные с кластеризацией*</w:t>
            </w:r>
          </w:p>
        </w:tc>
      </w:tr>
      <w:tr w:rsidR="00500A6F" w14:paraId="1E4D836D" w14:textId="77777777" w:rsidTr="009212D4"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14:paraId="74A390BC" w14:textId="77777777" w:rsidR="001F0C50" w:rsidRPr="005E70F2" w:rsidRDefault="005A6E19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ARS-BFGL-NGS-76191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41F467D2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Вспомогательный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FAFF1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Факторы, связанные с кластеризацией*</w:t>
            </w:r>
          </w:p>
        </w:tc>
      </w:tr>
      <w:tr w:rsidR="00500A6F" w14:paraId="06624907" w14:textId="77777777" w:rsidTr="009212D4"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14:paraId="1EB79C08" w14:textId="77777777" w:rsidR="001F0C50" w:rsidRPr="005E70F2" w:rsidRDefault="005A6E19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BTA-100621-no-rs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4E99190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Вспомогательный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1ECB3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Факторы, связанные с кластеризацией*</w:t>
            </w:r>
          </w:p>
        </w:tc>
      </w:tr>
      <w:tr w:rsidR="00500A6F" w14:paraId="4897B21E" w14:textId="77777777" w:rsidTr="009212D4"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8354A" w14:textId="77777777" w:rsidR="001F0C50" w:rsidRPr="005E70F2" w:rsidRDefault="005A6E19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ARS-BFGL-NGS-99210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0FDA7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Вспомогательный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F91C3" w14:textId="77777777" w:rsidR="001F0C50" w:rsidRPr="005E70F2" w:rsidRDefault="005A6E19" w:rsidP="005E70F2">
            <w:pPr>
              <w:pStyle w:val="a4"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Триаллельный**</w:t>
            </w:r>
          </w:p>
        </w:tc>
      </w:tr>
    </w:tbl>
    <w:p w14:paraId="7E990ACA" w14:textId="77777777" w:rsidR="001F0C50" w:rsidRPr="005E70F2" w:rsidRDefault="005A6E19" w:rsidP="005E70F2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E70F2">
        <w:rPr>
          <w:rFonts w:ascii="Times New Roman" w:eastAsia="Arial" w:hAnsi="Times New Roman" w:cs="Times New Roman"/>
          <w:sz w:val="20"/>
          <w:szCs w:val="24"/>
          <w:lang w:val="ru"/>
        </w:rPr>
        <w:t>* - МакКлюр и др. (2015)</w:t>
      </w:r>
    </w:p>
    <w:p w14:paraId="503FE077" w14:textId="77777777" w:rsidR="001F0C50" w:rsidRPr="006A3B55" w:rsidRDefault="005A6E19" w:rsidP="005E70F2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5E70F2">
        <w:rPr>
          <w:rFonts w:ascii="Times New Roman" w:eastAsia="Arial" w:hAnsi="Times New Roman" w:cs="Times New Roman"/>
          <w:sz w:val="20"/>
          <w:szCs w:val="24"/>
          <w:lang w:val="ru"/>
        </w:rPr>
        <w:t>** - Основано на проверке последовательности, что является особенно проблематичным для микрочипов.</w:t>
      </w:r>
    </w:p>
    <w:p w14:paraId="3D932373" w14:textId="77777777" w:rsidR="001F0C50" w:rsidRPr="006A3B55" w:rsidRDefault="001F0C50" w:rsidP="005E70F2">
      <w:pPr>
        <w:jc w:val="both"/>
        <w:rPr>
          <w:sz w:val="20"/>
          <w:lang w:val="ru-RU"/>
        </w:rPr>
      </w:pPr>
    </w:p>
    <w:p w14:paraId="50C3D409" w14:textId="77777777" w:rsidR="00B05E6A" w:rsidRPr="006A3B55" w:rsidRDefault="005A6E19" w:rsidP="00B05E6A">
      <w:pPr>
        <w:pStyle w:val="5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 xml:space="preserve">Со временем могут быть добавлены SNP, связанные с другими платформами и/или </w:t>
      </w:r>
      <w:r w:rsidRPr="00847C67">
        <w:rPr>
          <w:rFonts w:ascii="Times New Roman" w:hAnsi="Times New Roman" w:cs="Times New Roman"/>
          <w:b w:val="0"/>
          <w:bCs w:val="0"/>
          <w:sz w:val="24"/>
          <w:szCs w:val="24"/>
          <w:lang w:val="ru"/>
        </w:rPr>
        <w:t>технологиями чипов.</w:t>
      </w:r>
    </w:p>
    <w:sectPr w:rsidR="00B05E6A" w:rsidRPr="006A3B55" w:rsidSect="006A4A15">
      <w:headerReference w:type="first" r:id="rId7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3B39" w14:textId="77777777" w:rsidR="005A6E19" w:rsidRDefault="005A6E19">
      <w:r>
        <w:separator/>
      </w:r>
    </w:p>
  </w:endnote>
  <w:endnote w:type="continuationSeparator" w:id="0">
    <w:p w14:paraId="4DF33690" w14:textId="77777777" w:rsidR="005A6E19" w:rsidRDefault="005A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DB47" w14:textId="77777777" w:rsidR="005A6E19" w:rsidRDefault="005A6E19">
      <w:r>
        <w:separator/>
      </w:r>
    </w:p>
  </w:footnote>
  <w:footnote w:type="continuationSeparator" w:id="0">
    <w:p w14:paraId="4E46ECA7" w14:textId="77777777" w:rsidR="005A6E19" w:rsidRDefault="005A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907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19"/>
      <w:gridCol w:w="2892"/>
      <w:gridCol w:w="4961"/>
    </w:tblGrid>
    <w:tr w:rsidR="00500A6F" w:rsidRPr="006A3B55" w14:paraId="616401ED" w14:textId="77777777" w:rsidTr="005E70F2">
      <w:tc>
        <w:tcPr>
          <w:tcW w:w="1219" w:type="dxa"/>
          <w:shd w:val="clear" w:color="auto" w:fill="FFFFFF"/>
          <w:vAlign w:val="center"/>
        </w:tcPr>
        <w:p w14:paraId="2C8400C3" w14:textId="77777777" w:rsidR="001A19FB" w:rsidRPr="00847C67" w:rsidRDefault="005A6E19" w:rsidP="001A19FB">
          <w:pPr>
            <w:rPr>
              <w:sz w:val="22"/>
            </w:rPr>
          </w:pPr>
          <w:r w:rsidRPr="00847C67">
            <w:rPr>
              <w:noProof/>
              <w:lang w:val="ru-RU" w:eastAsia="ru-RU" w:bidi="ar-SA"/>
            </w:rPr>
            <w:drawing>
              <wp:inline distT="0" distB="0" distL="0" distR="0" wp14:anchorId="085316FE" wp14:editId="76A5C27F">
                <wp:extent cx="752667" cy="779212"/>
                <wp:effectExtent l="0" t="0" r="9525" b="1905"/>
                <wp:docPr id="2" name="Рисунок 2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0144770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320" cy="78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2" w:type="dxa"/>
          <w:shd w:val="clear" w:color="auto" w:fill="FFFFFF"/>
          <w:vAlign w:val="center"/>
        </w:tcPr>
        <w:p w14:paraId="5F1E0723" w14:textId="77777777" w:rsidR="001A19FB" w:rsidRPr="006A3B55" w:rsidRDefault="005A6E19" w:rsidP="001A19FB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Cs w:val="24"/>
              <w:lang w:val="ru-RU"/>
            </w:rPr>
          </w:pPr>
          <w:r w:rsidRPr="005E70F2">
            <w:rPr>
              <w:rFonts w:ascii="Times New Roman" w:eastAsia="Arial" w:hAnsi="Times New Roman" w:cs="Times New Roman"/>
              <w:b/>
              <w:bCs/>
              <w:color w:val="042341"/>
              <w:szCs w:val="24"/>
              <w:lang w:val="ru"/>
            </w:rPr>
            <w:t>ГЛОБАЛЬНЫЙ СТАНДАРТ ДАННЫХ О СЕЛЬСКОХОЗЯЙСТВЕННЫХ ЖИВОТНЫХ</w:t>
          </w:r>
        </w:p>
      </w:tc>
      <w:tc>
        <w:tcPr>
          <w:tcW w:w="4961" w:type="dxa"/>
          <w:shd w:val="clear" w:color="auto" w:fill="FFFFFF"/>
          <w:vAlign w:val="center"/>
        </w:tcPr>
        <w:p w14:paraId="1E04C2CD" w14:textId="77777777" w:rsidR="001A19FB" w:rsidRPr="006A3B55" w:rsidRDefault="005A6E19" w:rsidP="001A19FB">
          <w:pPr>
            <w:pStyle w:val="a4"/>
            <w:shd w:val="clear" w:color="auto" w:fill="auto"/>
            <w:spacing w:before="20" w:after="20" w:line="240" w:lineRule="auto"/>
            <w:ind w:left="57" w:right="57"/>
            <w:jc w:val="center"/>
            <w:rPr>
              <w:rFonts w:ascii="Times New Roman" w:eastAsia="Arial" w:hAnsi="Times New Roman" w:cs="Times New Roman"/>
              <w:b/>
              <w:bCs/>
              <w:sz w:val="26"/>
              <w:szCs w:val="26"/>
              <w:lang w:val="ru-RU"/>
            </w:rPr>
          </w:pPr>
          <w:r w:rsidRPr="005E70F2">
            <w:rPr>
              <w:rFonts w:ascii="Times New Roman" w:eastAsia="Arial" w:hAnsi="Times New Roman" w:cs="Times New Roman"/>
              <w:b/>
              <w:bCs/>
              <w:sz w:val="26"/>
              <w:szCs w:val="26"/>
              <w:lang w:val="ru"/>
            </w:rPr>
            <w:t>Руководство ICAR по подтверждению и установлению происхождения на основе SNP-генотипов</w:t>
          </w:r>
        </w:p>
        <w:p w14:paraId="37B1FA54" w14:textId="77777777" w:rsidR="001A19FB" w:rsidRPr="006A3B55" w:rsidRDefault="001A19FB" w:rsidP="001A19FB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Cs w:val="24"/>
              <w:lang w:val="ru-RU"/>
            </w:rPr>
          </w:pPr>
        </w:p>
        <w:p w14:paraId="41DD49C6" w14:textId="77777777" w:rsidR="001A19FB" w:rsidRPr="006A3B55" w:rsidRDefault="005A6E19" w:rsidP="001A19FB">
          <w:pPr>
            <w:pStyle w:val="a4"/>
            <w:shd w:val="clear" w:color="auto" w:fill="auto"/>
            <w:spacing w:before="20" w:after="20" w:line="240" w:lineRule="auto"/>
            <w:ind w:left="57" w:right="57"/>
            <w:jc w:val="center"/>
            <w:rPr>
              <w:rFonts w:ascii="Times New Roman" w:hAnsi="Times New Roman" w:cs="Times New Roman"/>
              <w:szCs w:val="24"/>
              <w:lang w:val="ru-RU"/>
            </w:rPr>
          </w:pPr>
          <w:r w:rsidRPr="005E70F2">
            <w:rPr>
              <w:rFonts w:ascii="Times New Roman" w:eastAsia="Arial" w:hAnsi="Times New Roman" w:cs="Times New Roman"/>
              <w:b/>
              <w:bCs/>
              <w:sz w:val="24"/>
              <w:szCs w:val="24"/>
              <w:lang w:val="ru"/>
            </w:rPr>
            <w:t>Подготовлено Рабочей группой ICAR по технологии ДНК</w:t>
          </w:r>
        </w:p>
      </w:tc>
    </w:tr>
  </w:tbl>
  <w:p w14:paraId="54AAC87F" w14:textId="77777777" w:rsidR="001A19FB" w:rsidRPr="006A3B55" w:rsidRDefault="001A19FB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A66B0"/>
    <w:rsid w:val="00130640"/>
    <w:rsid w:val="00144310"/>
    <w:rsid w:val="001809CE"/>
    <w:rsid w:val="001A19FB"/>
    <w:rsid w:val="001E781F"/>
    <w:rsid w:val="001F0C50"/>
    <w:rsid w:val="002212E4"/>
    <w:rsid w:val="00291AEA"/>
    <w:rsid w:val="004C7DA2"/>
    <w:rsid w:val="004D7D31"/>
    <w:rsid w:val="004F4F14"/>
    <w:rsid w:val="00500A6F"/>
    <w:rsid w:val="0056063D"/>
    <w:rsid w:val="00586D79"/>
    <w:rsid w:val="005A6E19"/>
    <w:rsid w:val="005E70F2"/>
    <w:rsid w:val="005F0D17"/>
    <w:rsid w:val="005F6243"/>
    <w:rsid w:val="00610D16"/>
    <w:rsid w:val="006420D6"/>
    <w:rsid w:val="006A3B55"/>
    <w:rsid w:val="006A4A15"/>
    <w:rsid w:val="006E22D3"/>
    <w:rsid w:val="00716554"/>
    <w:rsid w:val="0077235D"/>
    <w:rsid w:val="00792D9D"/>
    <w:rsid w:val="007F3B4F"/>
    <w:rsid w:val="00817293"/>
    <w:rsid w:val="008217E2"/>
    <w:rsid w:val="00847C67"/>
    <w:rsid w:val="0085133C"/>
    <w:rsid w:val="009212D4"/>
    <w:rsid w:val="009519D2"/>
    <w:rsid w:val="00A53073"/>
    <w:rsid w:val="00A71700"/>
    <w:rsid w:val="00B05E6A"/>
    <w:rsid w:val="00B50317"/>
    <w:rsid w:val="00B66435"/>
    <w:rsid w:val="00B671F2"/>
    <w:rsid w:val="00BB5CBD"/>
    <w:rsid w:val="00BE5F0C"/>
    <w:rsid w:val="00C76436"/>
    <w:rsid w:val="00C80486"/>
    <w:rsid w:val="00CA6CD8"/>
    <w:rsid w:val="00D944EF"/>
    <w:rsid w:val="00DB0CBB"/>
    <w:rsid w:val="00E8018A"/>
    <w:rsid w:val="00EC7706"/>
    <w:rsid w:val="00EF1017"/>
    <w:rsid w:val="00F07C0A"/>
    <w:rsid w:val="00F102EF"/>
    <w:rsid w:val="00F153E4"/>
    <w:rsid w:val="00F33BE6"/>
    <w:rsid w:val="00FC6E57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8F87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4C7DA2"/>
    <w:pPr>
      <w:tabs>
        <w:tab w:val="right" w:leader="dot" w:pos="9063"/>
      </w:tabs>
      <w:spacing w:before="120"/>
      <w:ind w:left="567" w:hanging="567"/>
    </w:pPr>
  </w:style>
  <w:style w:type="paragraph" w:styleId="23">
    <w:name w:val="toc 2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  <w:style w:type="paragraph" w:customStyle="1" w:styleId="130">
    <w:name w:val="13"/>
    <w:basedOn w:val="120"/>
    <w:link w:val="131"/>
    <w:qFormat/>
    <w:rsid w:val="006A4A15"/>
    <w:pPr>
      <w:ind w:left="709" w:hanging="709"/>
    </w:pPr>
  </w:style>
  <w:style w:type="paragraph" w:customStyle="1" w:styleId="140">
    <w:name w:val="14"/>
    <w:basedOn w:val="130"/>
    <w:link w:val="141"/>
    <w:qFormat/>
    <w:rsid w:val="00A71700"/>
    <w:pPr>
      <w:ind w:left="851" w:hanging="851"/>
    </w:pPr>
  </w:style>
  <w:style w:type="character" w:customStyle="1" w:styleId="131">
    <w:name w:val="13 Знак"/>
    <w:basedOn w:val="121"/>
    <w:link w:val="130"/>
    <w:rsid w:val="006A4A15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33">
    <w:name w:val="toc 3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418" w:hanging="851"/>
    </w:pPr>
  </w:style>
  <w:style w:type="character" w:customStyle="1" w:styleId="141">
    <w:name w:val="14 Знак"/>
    <w:basedOn w:val="131"/>
    <w:link w:val="140"/>
    <w:rsid w:val="00A71700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43">
    <w:name w:val="toc 4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843" w:hanging="992"/>
    </w:pPr>
  </w:style>
  <w:style w:type="paragraph" w:styleId="53">
    <w:name w:val="toc 5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63">
    <w:name w:val="toc 6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customStyle="1" w:styleId="1tab">
    <w:name w:val="1tab"/>
    <w:basedOn w:val="a9"/>
    <w:link w:val="1tab0"/>
    <w:qFormat/>
    <w:rsid w:val="00A53073"/>
    <w:pPr>
      <w:keepNext/>
      <w:keepLines/>
      <w:shd w:val="clear" w:color="auto" w:fill="auto"/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ig">
    <w:name w:val="1fig"/>
    <w:basedOn w:val="1tab"/>
    <w:link w:val="1fig0"/>
    <w:qFormat/>
    <w:rsid w:val="00A53073"/>
  </w:style>
  <w:style w:type="character" w:customStyle="1" w:styleId="1tab0">
    <w:name w:val="1tab Знак"/>
    <w:basedOn w:val="a8"/>
    <w:link w:val="1tab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">
    <w:name w:val="Normal (Web)"/>
    <w:basedOn w:val="a"/>
    <w:uiPriority w:val="99"/>
    <w:semiHidden/>
    <w:unhideWhenUsed/>
    <w:rsid w:val="00A53073"/>
    <w:pPr>
      <w:widowControl/>
      <w:spacing w:before="100" w:beforeAutospacing="1" w:after="100" w:afterAutospacing="1"/>
    </w:pPr>
    <w:rPr>
      <w:rFonts w:eastAsiaTheme="minorEastAsia"/>
      <w:color w:val="auto"/>
      <w:lang w:val="ru-RU" w:eastAsia="ru-RU" w:bidi="ar-SA"/>
    </w:rPr>
  </w:style>
  <w:style w:type="character" w:customStyle="1" w:styleId="1fig0">
    <w:name w:val="1fig Знак"/>
    <w:basedOn w:val="1tab0"/>
    <w:link w:val="1fig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9519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19D2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19D2"/>
    <w:rPr>
      <w:vertAlign w:val="superscript"/>
    </w:rPr>
  </w:style>
  <w:style w:type="paragraph" w:customStyle="1" w:styleId="1equ">
    <w:name w:val="1equ"/>
    <w:basedOn w:val="1tab"/>
    <w:link w:val="1equ0"/>
    <w:qFormat/>
    <w:rsid w:val="00C80486"/>
  </w:style>
  <w:style w:type="character" w:customStyle="1" w:styleId="1equ0">
    <w:name w:val="1equ Знак"/>
    <w:basedOn w:val="1tab0"/>
    <w:link w:val="1equ"/>
    <w:rsid w:val="00C8048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7F00-C017-44A4-94A7-EA8B7CAD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6</cp:revision>
  <dcterms:created xsi:type="dcterms:W3CDTF">2022-01-16T13:50:00Z</dcterms:created>
  <dcterms:modified xsi:type="dcterms:W3CDTF">2022-02-18T18:53:00Z</dcterms:modified>
</cp:coreProperties>
</file>