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64D" w:rsidRDefault="0089023E" w:rsidP="00A022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64D">
        <w:rPr>
          <w:rFonts w:ascii="Times New Roman" w:hAnsi="Times New Roman" w:cs="Times New Roman"/>
          <w:b/>
          <w:sz w:val="28"/>
          <w:szCs w:val="28"/>
        </w:rPr>
        <w:t>Список</w:t>
      </w:r>
      <w:r w:rsidR="00417FE3" w:rsidRPr="00E2764D">
        <w:rPr>
          <w:rFonts w:ascii="Times New Roman" w:hAnsi="Times New Roman" w:cs="Times New Roman"/>
          <w:b/>
          <w:sz w:val="28"/>
          <w:szCs w:val="28"/>
        </w:rPr>
        <w:t xml:space="preserve"> и Краткое описание</w:t>
      </w:r>
      <w:r w:rsidR="00A022E5">
        <w:rPr>
          <w:rFonts w:ascii="Times New Roman" w:hAnsi="Times New Roman" w:cs="Times New Roman"/>
          <w:b/>
          <w:sz w:val="28"/>
          <w:szCs w:val="28"/>
        </w:rPr>
        <w:t xml:space="preserve"> НПА </w:t>
      </w:r>
      <w:proofErr w:type="spellStart"/>
      <w:r w:rsidRPr="00E2764D">
        <w:rPr>
          <w:rFonts w:ascii="Times New Roman" w:hAnsi="Times New Roman" w:cs="Times New Roman"/>
          <w:b/>
          <w:sz w:val="28"/>
          <w:szCs w:val="28"/>
        </w:rPr>
        <w:t>Кыргызской</w:t>
      </w:r>
      <w:proofErr w:type="spellEnd"/>
      <w:r w:rsidRPr="00E2764D">
        <w:rPr>
          <w:rFonts w:ascii="Times New Roman" w:hAnsi="Times New Roman" w:cs="Times New Roman"/>
          <w:b/>
          <w:sz w:val="28"/>
          <w:szCs w:val="28"/>
        </w:rPr>
        <w:t xml:space="preserve"> Республики</w:t>
      </w:r>
      <w:r w:rsidR="00E470DC" w:rsidRPr="00E276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023E" w:rsidRPr="00E2764D" w:rsidRDefault="00E470DC" w:rsidP="00A022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64D">
        <w:rPr>
          <w:rFonts w:ascii="Times New Roman" w:hAnsi="Times New Roman" w:cs="Times New Roman"/>
          <w:b/>
          <w:sz w:val="28"/>
          <w:szCs w:val="28"/>
        </w:rPr>
        <w:t>регулирующих деятельность в рамках секторов (подсекторов) услуг</w:t>
      </w:r>
      <w:r w:rsidR="00860A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Y="1966"/>
        <w:tblW w:w="14914" w:type="dxa"/>
        <w:tblLook w:val="04A0" w:firstRow="1" w:lastRow="0" w:firstColumn="1" w:lastColumn="0" w:noHBand="0" w:noVBand="1"/>
      </w:tblPr>
      <w:tblGrid>
        <w:gridCol w:w="977"/>
        <w:gridCol w:w="4711"/>
        <w:gridCol w:w="9226"/>
      </w:tblGrid>
      <w:tr w:rsidR="00D31FF9" w:rsidRPr="00907383" w:rsidTr="00E2764D">
        <w:trPr>
          <w:tblHeader/>
        </w:trPr>
        <w:tc>
          <w:tcPr>
            <w:tcW w:w="14914" w:type="dxa"/>
            <w:gridSpan w:val="3"/>
          </w:tcPr>
          <w:p w:rsidR="00D31FF9" w:rsidRPr="00860A52" w:rsidRDefault="00DC6790" w:rsidP="00A02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A52">
              <w:rPr>
                <w:rFonts w:ascii="Times New Roman" w:hAnsi="Times New Roman" w:cs="Times New Roman"/>
                <w:b/>
                <w:sz w:val="28"/>
                <w:szCs w:val="28"/>
              </w:rPr>
              <w:t>Названия секторов</w:t>
            </w:r>
            <w:r w:rsidR="00D31FF9" w:rsidRPr="0086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услуг</w:t>
            </w:r>
          </w:p>
          <w:p w:rsidR="00D31FF9" w:rsidRPr="00907383" w:rsidRDefault="00D31FF9" w:rsidP="00A02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64D" w:rsidRPr="00907383" w:rsidTr="00E2764D">
        <w:trPr>
          <w:tblHeader/>
        </w:trPr>
        <w:tc>
          <w:tcPr>
            <w:tcW w:w="977" w:type="dxa"/>
          </w:tcPr>
          <w:p w:rsidR="00E2764D" w:rsidRPr="00860A52" w:rsidRDefault="00E2764D" w:rsidP="00A022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860A5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60A5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711" w:type="dxa"/>
          </w:tcPr>
          <w:p w:rsidR="00E2764D" w:rsidRPr="00860A52" w:rsidRDefault="00E2764D" w:rsidP="00A02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A5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НПА</w:t>
            </w:r>
          </w:p>
          <w:p w:rsidR="00E2764D" w:rsidRPr="00860A52" w:rsidRDefault="00E2764D" w:rsidP="00A02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26" w:type="dxa"/>
          </w:tcPr>
          <w:p w:rsidR="00E2764D" w:rsidRPr="00860A52" w:rsidRDefault="00E2764D" w:rsidP="00A022E5">
            <w:pPr>
              <w:ind w:firstLine="7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Краткое описание НПА </w:t>
            </w:r>
          </w:p>
        </w:tc>
      </w:tr>
      <w:tr w:rsidR="00D31FF9" w:rsidRPr="00907383" w:rsidTr="00E2764D">
        <w:tc>
          <w:tcPr>
            <w:tcW w:w="14914" w:type="dxa"/>
            <w:gridSpan w:val="3"/>
          </w:tcPr>
          <w:p w:rsidR="00D31FF9" w:rsidRPr="00562E31" w:rsidRDefault="00D31FF9" w:rsidP="00A022E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D31FF9" w:rsidRPr="00907383" w:rsidTr="00E2764D">
        <w:tc>
          <w:tcPr>
            <w:tcW w:w="14914" w:type="dxa"/>
            <w:gridSpan w:val="3"/>
          </w:tcPr>
          <w:p w:rsidR="00D31FF9" w:rsidRPr="00CF249D" w:rsidRDefault="00D31FF9" w:rsidP="00A022E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F24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Услуги в области</w:t>
            </w:r>
            <w:r w:rsidR="00475A55" w:rsidRPr="00CF24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услуг</w:t>
            </w:r>
            <w:r w:rsidRPr="00CF24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связанных с недвижимым имуществом и оценке имущества (8,9)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B1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Кодекс </w:t>
            </w:r>
            <w:proofErr w:type="spellStart"/>
            <w:r w:rsidRPr="00B50B1B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B50B1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</w:t>
            </w:r>
            <w:r>
              <w:t xml:space="preserve"> </w:t>
            </w:r>
            <w:r w:rsidRPr="00EF755D">
              <w:rPr>
                <w:rFonts w:ascii="Times New Roman" w:hAnsi="Times New Roman" w:cs="Times New Roman"/>
                <w:sz w:val="24"/>
                <w:szCs w:val="24"/>
              </w:rPr>
              <w:t xml:space="preserve">от 2 июня 1999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F755D">
              <w:rPr>
                <w:rFonts w:ascii="Times New Roman" w:hAnsi="Times New Roman" w:cs="Times New Roman"/>
                <w:sz w:val="24"/>
                <w:szCs w:val="24"/>
              </w:rPr>
              <w:t xml:space="preserve"> 45</w:t>
            </w:r>
          </w:p>
        </w:tc>
        <w:tc>
          <w:tcPr>
            <w:tcW w:w="9226" w:type="dxa"/>
          </w:tcPr>
          <w:p w:rsidR="00A01C0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егулирует земельные отношения в </w:t>
            </w:r>
            <w:proofErr w:type="spellStart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Республике, основания возникновения, порядок осуществления и прекращения прав на землю и их регистрацию, а также направлен на создание земельно-рыночных отношений в условиях государственной, муниципальной и частной собственности на землю и рационального использования земли и ее охраны.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B1B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proofErr w:type="spellStart"/>
            <w:r w:rsidRPr="00B50B1B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B50B1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«О государственной регистрации прав на недвижимое имущество и сделок с ним»</w:t>
            </w:r>
            <w:proofErr w:type="gramStart"/>
            <w:r w:rsidRPr="00B50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  <w:proofErr w:type="gramStart"/>
            <w:r w:rsidRPr="00D345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345CB">
              <w:rPr>
                <w:rFonts w:ascii="Times New Roman" w:hAnsi="Times New Roman" w:cs="Times New Roman"/>
                <w:sz w:val="24"/>
                <w:szCs w:val="24"/>
              </w:rPr>
              <w:t xml:space="preserve">т 22 декабря 1998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45CB">
              <w:rPr>
                <w:rFonts w:ascii="Times New Roman" w:hAnsi="Times New Roman" w:cs="Times New Roman"/>
                <w:sz w:val="24"/>
                <w:szCs w:val="24"/>
              </w:rPr>
              <w:t xml:space="preserve"> 153</w:t>
            </w:r>
          </w:p>
        </w:tc>
        <w:tc>
          <w:tcPr>
            <w:tcW w:w="9226" w:type="dxa"/>
          </w:tcPr>
          <w:p w:rsidR="00A01C0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станавливает правовые основы и порядок функционирования единой системы государственной регистрации прав на недвижимое имущество и сделок с ним на всей территории </w:t>
            </w:r>
            <w:proofErr w:type="spellStart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Республики. Целью регистрационной системы является признание государством зарегистрированных в соответствии с настоящим Законом вещных прав на недвижимое имущество и сделок с ним и имущественных отношений, а также содействие развитию рынка недвижимости. Настоящий Закон вводит в действие регистрационную систему, предусмотренную Гражданским кодексом </w:t>
            </w:r>
            <w:proofErr w:type="spellStart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Положение о порядке оформления и выдачи документов, удостоверяющих право на 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5CB">
              <w:rPr>
                <w:rFonts w:ascii="Times New Roman" w:hAnsi="Times New Roman" w:cs="Times New Roman"/>
                <w:sz w:val="24"/>
                <w:szCs w:val="24"/>
              </w:rPr>
              <w:t xml:space="preserve">8 декабря 2010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45CB">
              <w:rPr>
                <w:rFonts w:ascii="Times New Roman" w:hAnsi="Times New Roman" w:cs="Times New Roman"/>
                <w:sz w:val="24"/>
                <w:szCs w:val="24"/>
              </w:rPr>
              <w:t xml:space="preserve"> 311</w:t>
            </w:r>
          </w:p>
        </w:tc>
        <w:tc>
          <w:tcPr>
            <w:tcW w:w="9226" w:type="dxa"/>
          </w:tcPr>
          <w:p w:rsidR="00A01C0B" w:rsidRPr="00D345C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станавливает порядок оформления и выдачи документов, удостоверяющих права на земельные участки (далее - </w:t>
            </w:r>
            <w:proofErr w:type="spellStart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правоудостоверяющие</w:t>
            </w:r>
            <w:proofErr w:type="spellEnd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документы) физическим и юридическим лицам.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порядке предоставления данных о недвижимости из Единой информационной системы по недвижимости и местными регистрационными органами Департамента кадастра и регистрации прав на недвижимое имущество при Государственной регистрационной службе </w:t>
            </w:r>
            <w:r w:rsidRPr="001C0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Правительстве </w:t>
            </w:r>
            <w:proofErr w:type="spellStart"/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1C0659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B34F93">
              <w:rPr>
                <w:rFonts w:ascii="Times New Roman" w:hAnsi="Times New Roman" w:cs="Times New Roman"/>
                <w:sz w:val="24"/>
                <w:szCs w:val="24"/>
              </w:rPr>
              <w:t xml:space="preserve">от 25 ноября 2010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34F93">
              <w:rPr>
                <w:rFonts w:ascii="Times New Roman" w:hAnsi="Times New Roman" w:cs="Times New Roman"/>
                <w:sz w:val="24"/>
                <w:szCs w:val="24"/>
              </w:rPr>
              <w:t xml:space="preserve"> 301</w:t>
            </w:r>
          </w:p>
        </w:tc>
        <w:tc>
          <w:tcPr>
            <w:tcW w:w="9226" w:type="dxa"/>
          </w:tcPr>
          <w:p w:rsidR="00A01C0B" w:rsidRPr="00B34F9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Положение разработано на основании Гражданского кодекса </w:t>
            </w:r>
            <w:proofErr w:type="spellStart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и Закона </w:t>
            </w:r>
            <w:proofErr w:type="spellStart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"О государственной регистрации прав на недвижимое имущество и сделок с ним" и определяет порядок предоставления данных о недвижимости из Единой информационной системы по недвижимости (далее - ЕИСН), а также порядок предоставления данных о недвижимости местными регистрационными органами Департамента кадастра и регистрации прав на недвижимое имущество при Государственной регистрационной службе</w:t>
            </w:r>
            <w:proofErr w:type="gramEnd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 при Правительстве </w:t>
            </w:r>
            <w:proofErr w:type="spellStart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45069D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(далее - Департамент).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Положение о порядке проведения технического обследования единиц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B34F93">
              <w:rPr>
                <w:rFonts w:ascii="Times New Roman" w:hAnsi="Times New Roman" w:cs="Times New Roman"/>
                <w:sz w:val="24"/>
                <w:szCs w:val="24"/>
              </w:rPr>
              <w:t xml:space="preserve">от 19 июня 2009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34F93">
              <w:rPr>
                <w:rFonts w:ascii="Times New Roman" w:hAnsi="Times New Roman" w:cs="Times New Roman"/>
                <w:sz w:val="24"/>
                <w:szCs w:val="24"/>
              </w:rPr>
              <w:t xml:space="preserve"> 388</w:t>
            </w:r>
          </w:p>
        </w:tc>
        <w:tc>
          <w:tcPr>
            <w:tcW w:w="9226" w:type="dxa"/>
          </w:tcPr>
          <w:p w:rsidR="00A01C0B" w:rsidRPr="0045069D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Положение устанавливает порядок проведения технического обследования единиц недвижимого имущества. Техническое обследование единиц недвижимого имущества включает:</w:t>
            </w:r>
          </w:p>
          <w:p w:rsidR="00A01C0B" w:rsidRPr="0045069D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- проведение технического обследования единиц недвижимого имущества;</w:t>
            </w:r>
          </w:p>
          <w:p w:rsidR="00A01C0B" w:rsidRPr="00B34F9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69D">
              <w:rPr>
                <w:rFonts w:ascii="Times New Roman" w:hAnsi="Times New Roman" w:cs="Times New Roman"/>
                <w:sz w:val="24"/>
                <w:szCs w:val="24"/>
              </w:rPr>
              <w:t>- выдачу технического паспорта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Правила государственной регистрации прав и обременений (ограничений) прав на недвижимое имущество и сделок с ним</w:t>
            </w:r>
            <w:r>
              <w:t xml:space="preserve"> </w:t>
            </w:r>
            <w:r w:rsidRPr="00AD68A6">
              <w:rPr>
                <w:rFonts w:ascii="Times New Roman" w:hAnsi="Times New Roman" w:cs="Times New Roman"/>
                <w:sz w:val="24"/>
                <w:szCs w:val="24"/>
              </w:rPr>
              <w:t xml:space="preserve">от 15 февраля 2011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D68A6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9226" w:type="dxa"/>
          </w:tcPr>
          <w:p w:rsidR="00A01C0B" w:rsidRPr="00AD68A6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Правила государственной регистрации прав и обременений (ограничений) прав на недвижимое имущество (далее - Правила) разработаны на основании Гражданского кодекса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(далее - Гражданский кодекс), Земельного кодекса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(далее - Земельный кодекс), законов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"О государственной регистрации прав на недвижимое имущество и сделок с ним", "О залоге", "Об управлении землями сельскохозяйственного назначения" и иных нормативных правовых актов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и регулируют</w:t>
            </w:r>
            <w:proofErr w:type="gram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правоотношения по государственной регистрации прав и обременений (ограничений) прав на недвижимое имущество.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Типовое положение о порядке и условиях возмездного предоставления прав собственности или аренды на земельные участки, находящиеся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(Утверждено постановлением Правительства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от 23 сентября 2011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571)</w:t>
            </w:r>
          </w:p>
        </w:tc>
        <w:tc>
          <w:tcPr>
            <w:tcW w:w="9226" w:type="dxa"/>
          </w:tcPr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Типовое положение разработано в соответствии с Земельным кодексом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Республики, Гражданским кодексом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и другими нормативными правовыми актами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и устанавливает порядок и условия возмездного предоставления прав собственности или аренды на земельные участки, находящиеся в муниципальной собственности (далее - земельные участки).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834FB7" w:rsidP="00834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Временные правила</w:t>
            </w:r>
            <w:r w:rsidR="00A01C0B" w:rsidRPr="001C06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оценщиков и оценочных организаций в </w:t>
            </w:r>
            <w:proofErr w:type="spellStart"/>
            <w:r w:rsidR="00A01C0B" w:rsidRPr="001C0659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="00A01C0B" w:rsidRPr="001C0659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="00A01C0B"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тверждены постановлением Правительства  </w:t>
            </w:r>
            <w:proofErr w:type="spellStart"/>
            <w:r w:rsidR="00A01C0B"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="00A01C0B"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от 21 августа 2003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01C0B"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537</w:t>
            </w:r>
          </w:p>
        </w:tc>
        <w:tc>
          <w:tcPr>
            <w:tcW w:w="9226" w:type="dxa"/>
          </w:tcPr>
          <w:p w:rsidR="00A01C0B" w:rsidRPr="00AC6427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правила деятельности оценщиков и оценочных организаций в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 определяют правовые основы деятельности оценщиков и оценочных организаций в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 и направлены на создание системы оценки, способствующей защите имущественных прав собственников.</w:t>
            </w:r>
          </w:p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распространяются на все хозяйствующие субъекты всех форм собственности независимо от их организационно-правовой формы. Регулирование отношений, возникающих в связи с деятельностью оценщиков и оценочных организаций, осуществляется на основе настоящих Правил и иных нормативных правовых актов </w:t>
            </w:r>
            <w:proofErr w:type="spellStart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AC64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основных понятий и принципов </w:t>
            </w:r>
            <w:r w:rsidRPr="001C0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от 3 апреля 2006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217</w:t>
            </w:r>
          </w:p>
        </w:tc>
        <w:tc>
          <w:tcPr>
            <w:tcW w:w="9226" w:type="dxa"/>
          </w:tcPr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тандарты оценки являются обязательными к применению субъектами оценочной 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в </w:t>
            </w:r>
            <w:proofErr w:type="spellStart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 при определении вида стоимости, объекта оценки, подходов к оценке и методов оценки, а также при проведении </w:t>
            </w:r>
            <w:proofErr w:type="gramStart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оценки стоимости имущества всех форм собственности</w:t>
            </w:r>
            <w:proofErr w:type="gramEnd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Субъектами оценочной деятельности являются физические и юридические лица, органы государственного управления и органы местного самоуправления в рамках предоставленных им полномочий, потребители услуг (заказчики).</w:t>
            </w:r>
          </w:p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настоящего стандарта используются в других стандартах в значении, установленном настоящим стандартом.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Стандарт оценки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от 3 апреля 2006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217</w:t>
            </w:r>
          </w:p>
        </w:tc>
        <w:tc>
          <w:tcPr>
            <w:tcW w:w="9226" w:type="dxa"/>
          </w:tcPr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тандарт разработан в целях развития системы нормативных документов по оценке бизнеса, содержит необходимый набор критериев, которыми следует руководствоваться оценщикам при подготовке отчета об оценке действующего предприятия (бизнеса) или имущественного комплекса, или доли акционера в его капитале.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Оценка бизнеса проводится на базе рыночной стоимости, в случае использования иных баз оценки, должны быть раскрыты и обоснованы причины применения данного вида стоимости.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Оценщикам и пользователям услуг по оценке следует обращать внимание на различия между (1) стоимостью бизнеса как хозяйствующего субъекта, (2) оценкой активов, находящихся в собственности хозяйствующего субъекта, и (3) оценкой интересов (долей) в собственном капитале.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тандарт содержит формулировки важных определений, используемых в оценке бизнеса.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тандарт оценки призван облегчить проведение или использование оценки бизнеса.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В силу того, что к оценке бизнеса также применимы другие базовые принципы оценки, следует считать, что настоящий станда</w:t>
            </w:r>
            <w:proofErr w:type="gramStart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рт вкл</w:t>
            </w:r>
            <w:proofErr w:type="gramEnd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ючает в себя все понятия и принципы других стандартов, применяемых в оценке.</w:t>
            </w:r>
          </w:p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Стандарт оценки машин и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от 3 апреля 2006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217</w:t>
            </w:r>
          </w:p>
        </w:tc>
        <w:tc>
          <w:tcPr>
            <w:tcW w:w="9226" w:type="dxa"/>
          </w:tcPr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тандарт разработан в целях развития системы нормативных документов по оценочной деятельности в </w:t>
            </w:r>
            <w:proofErr w:type="spellStart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 и предназначен для применения юридическими и физическими лицами на территории </w:t>
            </w:r>
            <w:proofErr w:type="spellStart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Действие настоящего стандарта распространяется на оценку машин и оборудования.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настоящего стандарта не распространяется на оценку транспортных средств.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Настоящий стандарт регламентирует основные понятия, терминологию, </w:t>
            </w:r>
            <w:proofErr w:type="gramStart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методические подходы</w:t>
            </w:r>
            <w:proofErr w:type="gramEnd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к оценке машин и оборудования.</w:t>
            </w:r>
          </w:p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Настоящий станда</w:t>
            </w:r>
            <w:proofErr w:type="gramStart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рт вкл</w:t>
            </w:r>
            <w:proofErr w:type="gramEnd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ючает в себя все понятия и принципы оценки других стандартов оценки.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Стандарт оценки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от 3 апреля 2006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217</w:t>
            </w:r>
          </w:p>
        </w:tc>
        <w:tc>
          <w:tcPr>
            <w:tcW w:w="9226" w:type="dxa"/>
          </w:tcPr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тандарт разработан в целях развития системы нормативных документов по оценке недвижимого имущества и предназначен для применения юридическими и физическими лицами на территории </w:t>
            </w:r>
            <w:proofErr w:type="spellStart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настоящего стандарта распространяется на оценку следующих типов недвижимого имущества: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- земельные участки как улучшенные, так и не улучшенные;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- здания и сооружения, в том числе обеспечивающее их функционирование инженерное оборудование, внутренние инженерные сети и системы.</w:t>
            </w:r>
          </w:p>
          <w:p w:rsidR="00A01C0B" w:rsidRPr="00FC51BA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Принципы оценки, содержащиеся в настоящем стандарте, могут быть использованы для оценки других объектов.</w:t>
            </w:r>
          </w:p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1BA">
              <w:rPr>
                <w:rFonts w:ascii="Times New Roman" w:hAnsi="Times New Roman" w:cs="Times New Roman"/>
                <w:sz w:val="24"/>
                <w:szCs w:val="24"/>
              </w:rPr>
              <w:t>тандарт регламентирует обязанности оценщика в части профессиональной деятельности, определяет профессиональную терминологию в области оценки недвижимого имущества, определяет методологию оценки и требования к качеству информации, используемой оценщиком при проведении оценки.</w:t>
            </w: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Стандарт требований к содержанию и оформлению отчета об оценке</w:t>
            </w:r>
            <w:proofErr w:type="gramStart"/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  <w:proofErr w:type="gramStart"/>
            <w:r w:rsidRPr="00E024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024A5">
              <w:rPr>
                <w:rFonts w:ascii="Times New Roman" w:hAnsi="Times New Roman" w:cs="Times New Roman"/>
                <w:sz w:val="24"/>
                <w:szCs w:val="24"/>
              </w:rPr>
              <w:t xml:space="preserve">т 3 апреля 2006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024A5">
              <w:rPr>
                <w:rFonts w:ascii="Times New Roman" w:hAnsi="Times New Roman" w:cs="Times New Roman"/>
                <w:sz w:val="24"/>
                <w:szCs w:val="24"/>
              </w:rPr>
              <w:t xml:space="preserve"> 217</w:t>
            </w:r>
          </w:p>
        </w:tc>
        <w:tc>
          <w:tcPr>
            <w:tcW w:w="9226" w:type="dxa"/>
          </w:tcPr>
          <w:p w:rsidR="00A01C0B" w:rsidRPr="0045690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690B">
              <w:rPr>
                <w:rFonts w:ascii="Times New Roman" w:hAnsi="Times New Roman" w:cs="Times New Roman"/>
                <w:sz w:val="24"/>
                <w:szCs w:val="24"/>
              </w:rPr>
              <w:t xml:space="preserve">тандарт разработан в целях развития системы нормативных документов по оценочной деятельности в </w:t>
            </w:r>
            <w:proofErr w:type="spellStart"/>
            <w:r w:rsidRPr="0045690B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45690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 и предназначен для применения юридическими и физическими лицами, оказывающими услуги по оценке.</w:t>
            </w:r>
          </w:p>
          <w:p w:rsidR="00A01C0B" w:rsidRPr="0045690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90B">
              <w:rPr>
                <w:rFonts w:ascii="Times New Roman" w:hAnsi="Times New Roman" w:cs="Times New Roman"/>
                <w:sz w:val="24"/>
                <w:szCs w:val="24"/>
              </w:rPr>
              <w:t>Основным итоговым документом проведения любой оценки является отчет, в котором содержатся обоснования и выводы оценщика о стоимости объекта оценки.</w:t>
            </w:r>
          </w:p>
          <w:p w:rsidR="00A01C0B" w:rsidRPr="0045690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690B">
              <w:rPr>
                <w:rFonts w:ascii="Times New Roman" w:hAnsi="Times New Roman" w:cs="Times New Roman"/>
                <w:sz w:val="24"/>
                <w:szCs w:val="24"/>
              </w:rPr>
              <w:t>тандарт регламентирует обязанности оценщика в части профессиональной деятельности, определяет терминологию, используемую при написании отчета, и устанавливает требования к отчету об оценке.</w:t>
            </w:r>
          </w:p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B50B1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Стандарт профессиональной этики оценщиков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024A5">
              <w:rPr>
                <w:rFonts w:ascii="Times New Roman" w:hAnsi="Times New Roman" w:cs="Times New Roman"/>
                <w:sz w:val="24"/>
                <w:szCs w:val="24"/>
              </w:rPr>
              <w:t xml:space="preserve">от 3 апреля 2006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024A5">
              <w:rPr>
                <w:rFonts w:ascii="Times New Roman" w:hAnsi="Times New Roman" w:cs="Times New Roman"/>
                <w:sz w:val="24"/>
                <w:szCs w:val="24"/>
              </w:rPr>
              <w:t xml:space="preserve"> 217</w:t>
            </w:r>
          </w:p>
        </w:tc>
        <w:tc>
          <w:tcPr>
            <w:tcW w:w="9226" w:type="dxa"/>
          </w:tcPr>
          <w:p w:rsidR="00A01C0B" w:rsidRPr="0045690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5690B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стандарте содержатся принципиальные положения по этическим нормам, которыми должны руководствоваться оценщики и оценочные организации в своей практической деятельности.</w:t>
            </w:r>
          </w:p>
          <w:p w:rsidR="00A01C0B" w:rsidRPr="0045690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5690B">
              <w:rPr>
                <w:rFonts w:ascii="Times New Roman" w:hAnsi="Times New Roman" w:cs="Times New Roman"/>
                <w:sz w:val="24"/>
                <w:szCs w:val="24"/>
              </w:rPr>
              <w:t>стандарте содержатся принципиальные положения профессиональной этики оценщиков и критерии, позволяющие принять решение о признании профессиональных действий оценщиков этичными или неэтичными.</w:t>
            </w:r>
          </w:p>
          <w:p w:rsidR="00A01C0B" w:rsidRPr="0045690B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90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подлежит обязательному применению всеми субъектами профессиональной оценочной деятельности независимо от форм собственности на территории </w:t>
            </w:r>
            <w:proofErr w:type="spellStart"/>
            <w:r w:rsidRPr="0045690B">
              <w:rPr>
                <w:rFonts w:ascii="Times New Roman" w:hAnsi="Times New Roman" w:cs="Times New Roman"/>
                <w:sz w:val="24"/>
                <w:szCs w:val="24"/>
              </w:rPr>
              <w:t>Кыргызской</w:t>
            </w:r>
            <w:proofErr w:type="spellEnd"/>
            <w:r w:rsidRPr="0045690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Республики, а также может быть использован и другими </w:t>
            </w:r>
            <w:r w:rsidRPr="00456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заинтересованными лицами и пользователями услуг оценщиков.</w:t>
            </w:r>
          </w:p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C0B" w:rsidRPr="00907383" w:rsidTr="00E2764D">
        <w:tc>
          <w:tcPr>
            <w:tcW w:w="977" w:type="dxa"/>
          </w:tcPr>
          <w:p w:rsidR="00A01C0B" w:rsidRPr="00DC6790" w:rsidRDefault="00A01C0B" w:rsidP="007C14EE">
            <w:pPr>
              <w:pStyle w:val="a6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</w:tcPr>
          <w:p w:rsidR="00A01C0B" w:rsidRPr="001C0659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59">
              <w:rPr>
                <w:rFonts w:ascii="Times New Roman" w:hAnsi="Times New Roman" w:cs="Times New Roman"/>
                <w:sz w:val="24"/>
                <w:szCs w:val="24"/>
              </w:rPr>
              <w:t>Стандарт оценки нематериальных активов и объектов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024A5">
              <w:rPr>
                <w:rFonts w:ascii="Times New Roman" w:hAnsi="Times New Roman" w:cs="Times New Roman"/>
                <w:sz w:val="24"/>
                <w:szCs w:val="24"/>
              </w:rPr>
              <w:t xml:space="preserve">от 3 апреля 2006 года </w:t>
            </w:r>
            <w:r w:rsidR="00047D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024A5">
              <w:rPr>
                <w:rFonts w:ascii="Times New Roman" w:hAnsi="Times New Roman" w:cs="Times New Roman"/>
                <w:sz w:val="24"/>
                <w:szCs w:val="24"/>
              </w:rPr>
              <w:t xml:space="preserve"> 217</w:t>
            </w:r>
          </w:p>
        </w:tc>
        <w:tc>
          <w:tcPr>
            <w:tcW w:w="9226" w:type="dxa"/>
          </w:tcPr>
          <w:p w:rsidR="00A01C0B" w:rsidRPr="00907383" w:rsidRDefault="00A01C0B" w:rsidP="00A0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</w:t>
            </w:r>
            <w:r w:rsidRPr="0045690B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стандарта распространяется на оценку нематериальных активов и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интеллектуальной собственности. С</w:t>
            </w:r>
            <w:r w:rsidRPr="0045690B">
              <w:rPr>
                <w:rFonts w:ascii="Times New Roman" w:hAnsi="Times New Roman" w:cs="Times New Roman"/>
                <w:sz w:val="24"/>
                <w:szCs w:val="24"/>
              </w:rPr>
              <w:t xml:space="preserve">тандарт определяет основные понятия, терминологию, </w:t>
            </w:r>
            <w:proofErr w:type="gramStart"/>
            <w:r w:rsidRPr="0045690B">
              <w:rPr>
                <w:rFonts w:ascii="Times New Roman" w:hAnsi="Times New Roman" w:cs="Times New Roman"/>
                <w:sz w:val="24"/>
                <w:szCs w:val="24"/>
              </w:rPr>
              <w:t>методические подходы</w:t>
            </w:r>
            <w:proofErr w:type="gramEnd"/>
            <w:r w:rsidRPr="0045690B">
              <w:rPr>
                <w:rFonts w:ascii="Times New Roman" w:hAnsi="Times New Roman" w:cs="Times New Roman"/>
                <w:sz w:val="24"/>
                <w:szCs w:val="24"/>
              </w:rPr>
              <w:t xml:space="preserve"> к оценке нематериальных активов и объекты интеллектуальной собственности</w:t>
            </w:r>
          </w:p>
        </w:tc>
      </w:tr>
    </w:tbl>
    <w:p w:rsidR="00BD6AA8" w:rsidRDefault="00BD6AA8" w:rsidP="00A022E5">
      <w:pPr>
        <w:spacing w:after="0" w:line="240" w:lineRule="auto"/>
      </w:pPr>
      <w:bookmarkStart w:id="0" w:name="_GoBack"/>
      <w:bookmarkEnd w:id="0"/>
    </w:p>
    <w:sectPr w:rsidR="00BD6AA8" w:rsidSect="00A022E5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3B5" w:rsidRDefault="005123B5" w:rsidP="00690A5A">
      <w:pPr>
        <w:spacing w:after="0" w:line="240" w:lineRule="auto"/>
      </w:pPr>
      <w:r>
        <w:separator/>
      </w:r>
    </w:p>
  </w:endnote>
  <w:endnote w:type="continuationSeparator" w:id="0">
    <w:p w:rsidR="005123B5" w:rsidRDefault="005123B5" w:rsidP="00690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14376"/>
      <w:docPartObj>
        <w:docPartGallery w:val="Page Numbers (Bottom of Page)"/>
        <w:docPartUnique/>
      </w:docPartObj>
    </w:sdtPr>
    <w:sdtEndPr/>
    <w:sdtContent>
      <w:p w:rsidR="00690A5A" w:rsidRDefault="005123B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E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0A5A" w:rsidRDefault="00690A5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3B5" w:rsidRDefault="005123B5" w:rsidP="00690A5A">
      <w:pPr>
        <w:spacing w:after="0" w:line="240" w:lineRule="auto"/>
      </w:pPr>
      <w:r>
        <w:separator/>
      </w:r>
    </w:p>
  </w:footnote>
  <w:footnote w:type="continuationSeparator" w:id="0">
    <w:p w:rsidR="005123B5" w:rsidRDefault="005123B5" w:rsidP="00690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0FB2"/>
    <w:multiLevelType w:val="hybridMultilevel"/>
    <w:tmpl w:val="3252F1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670EC4"/>
    <w:multiLevelType w:val="hybridMultilevel"/>
    <w:tmpl w:val="628AABB8"/>
    <w:lvl w:ilvl="0" w:tplc="65249270">
      <w:start w:val="7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C0B6F6F"/>
    <w:multiLevelType w:val="hybridMultilevel"/>
    <w:tmpl w:val="8F6C93CE"/>
    <w:lvl w:ilvl="0" w:tplc="0419000F">
      <w:start w:val="1"/>
      <w:numFmt w:val="decimal"/>
      <w:lvlText w:val="%1."/>
      <w:lvlJc w:val="left"/>
      <w:pPr>
        <w:ind w:left="31728" w:hanging="360"/>
      </w:pPr>
    </w:lvl>
    <w:lvl w:ilvl="1" w:tplc="04190019" w:tentative="1">
      <w:start w:val="1"/>
      <w:numFmt w:val="lowerLetter"/>
      <w:lvlText w:val="%2."/>
      <w:lvlJc w:val="left"/>
      <w:pPr>
        <w:ind w:left="32448" w:hanging="360"/>
      </w:pPr>
    </w:lvl>
    <w:lvl w:ilvl="2" w:tplc="0419001B" w:tentative="1">
      <w:start w:val="1"/>
      <w:numFmt w:val="lowerRoman"/>
      <w:lvlText w:val="%3."/>
      <w:lvlJc w:val="right"/>
      <w:pPr>
        <w:ind w:left="-32368" w:hanging="180"/>
      </w:pPr>
    </w:lvl>
    <w:lvl w:ilvl="3" w:tplc="0419000F" w:tentative="1">
      <w:start w:val="1"/>
      <w:numFmt w:val="decimal"/>
      <w:lvlText w:val="%4."/>
      <w:lvlJc w:val="left"/>
      <w:pPr>
        <w:ind w:left="-31648" w:hanging="360"/>
      </w:pPr>
    </w:lvl>
    <w:lvl w:ilvl="4" w:tplc="04190019" w:tentative="1">
      <w:start w:val="1"/>
      <w:numFmt w:val="lowerLetter"/>
      <w:lvlText w:val="%5."/>
      <w:lvlJc w:val="left"/>
      <w:pPr>
        <w:ind w:left="-30928" w:hanging="360"/>
      </w:pPr>
    </w:lvl>
    <w:lvl w:ilvl="5" w:tplc="0419001B" w:tentative="1">
      <w:start w:val="1"/>
      <w:numFmt w:val="lowerRoman"/>
      <w:lvlText w:val="%6."/>
      <w:lvlJc w:val="right"/>
      <w:pPr>
        <w:ind w:left="-30208" w:hanging="180"/>
      </w:pPr>
    </w:lvl>
    <w:lvl w:ilvl="6" w:tplc="0419000F" w:tentative="1">
      <w:start w:val="1"/>
      <w:numFmt w:val="decimal"/>
      <w:lvlText w:val="%7."/>
      <w:lvlJc w:val="left"/>
      <w:pPr>
        <w:ind w:left="-29488" w:hanging="360"/>
      </w:pPr>
    </w:lvl>
    <w:lvl w:ilvl="7" w:tplc="04190019" w:tentative="1">
      <w:start w:val="1"/>
      <w:numFmt w:val="lowerLetter"/>
      <w:lvlText w:val="%8."/>
      <w:lvlJc w:val="left"/>
      <w:pPr>
        <w:ind w:left="-28768" w:hanging="360"/>
      </w:pPr>
    </w:lvl>
    <w:lvl w:ilvl="8" w:tplc="0419001B" w:tentative="1">
      <w:start w:val="1"/>
      <w:numFmt w:val="lowerRoman"/>
      <w:lvlText w:val="%9."/>
      <w:lvlJc w:val="right"/>
      <w:pPr>
        <w:ind w:left="-28048" w:hanging="180"/>
      </w:pPr>
    </w:lvl>
  </w:abstractNum>
  <w:abstractNum w:abstractNumId="3">
    <w:nsid w:val="49D65206"/>
    <w:multiLevelType w:val="hybridMultilevel"/>
    <w:tmpl w:val="74E4D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4B124371"/>
    <w:multiLevelType w:val="hybridMultilevel"/>
    <w:tmpl w:val="AB66D2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8118A4"/>
    <w:multiLevelType w:val="hybridMultilevel"/>
    <w:tmpl w:val="A6C2E7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4C6C70"/>
    <w:multiLevelType w:val="hybridMultilevel"/>
    <w:tmpl w:val="74E4DCA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E8B655F"/>
    <w:multiLevelType w:val="hybridMultilevel"/>
    <w:tmpl w:val="8F6C93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23E"/>
    <w:rsid w:val="00007CF8"/>
    <w:rsid w:val="00047D22"/>
    <w:rsid w:val="00052AD6"/>
    <w:rsid w:val="0013750D"/>
    <w:rsid w:val="00140E77"/>
    <w:rsid w:val="00166040"/>
    <w:rsid w:val="00177918"/>
    <w:rsid w:val="001C0659"/>
    <w:rsid w:val="001F2539"/>
    <w:rsid w:val="00257888"/>
    <w:rsid w:val="002A1693"/>
    <w:rsid w:val="002F2100"/>
    <w:rsid w:val="003E1327"/>
    <w:rsid w:val="003F0C37"/>
    <w:rsid w:val="00417FE3"/>
    <w:rsid w:val="00433448"/>
    <w:rsid w:val="0045069D"/>
    <w:rsid w:val="0045690B"/>
    <w:rsid w:val="00475A55"/>
    <w:rsid w:val="004B3469"/>
    <w:rsid w:val="004F26DB"/>
    <w:rsid w:val="00500F41"/>
    <w:rsid w:val="005123B5"/>
    <w:rsid w:val="00546AE7"/>
    <w:rsid w:val="00562E31"/>
    <w:rsid w:val="005B4CCE"/>
    <w:rsid w:val="005D089A"/>
    <w:rsid w:val="005E7E98"/>
    <w:rsid w:val="006036F0"/>
    <w:rsid w:val="006205D5"/>
    <w:rsid w:val="00636438"/>
    <w:rsid w:val="006838BD"/>
    <w:rsid w:val="00687288"/>
    <w:rsid w:val="00690A5A"/>
    <w:rsid w:val="006D562E"/>
    <w:rsid w:val="0071461F"/>
    <w:rsid w:val="00740B87"/>
    <w:rsid w:val="007C14EE"/>
    <w:rsid w:val="00834FB7"/>
    <w:rsid w:val="00860A52"/>
    <w:rsid w:val="008667D5"/>
    <w:rsid w:val="00874F85"/>
    <w:rsid w:val="00877C79"/>
    <w:rsid w:val="0089023E"/>
    <w:rsid w:val="008E0585"/>
    <w:rsid w:val="00903268"/>
    <w:rsid w:val="009078F6"/>
    <w:rsid w:val="00927585"/>
    <w:rsid w:val="009E06C9"/>
    <w:rsid w:val="00A01C0B"/>
    <w:rsid w:val="00A022E5"/>
    <w:rsid w:val="00A21ABF"/>
    <w:rsid w:val="00A32DB4"/>
    <w:rsid w:val="00A6264E"/>
    <w:rsid w:val="00A931C9"/>
    <w:rsid w:val="00AC6427"/>
    <w:rsid w:val="00AD68A6"/>
    <w:rsid w:val="00B04275"/>
    <w:rsid w:val="00B34F93"/>
    <w:rsid w:val="00B50B1B"/>
    <w:rsid w:val="00BD6AA8"/>
    <w:rsid w:val="00BE7F79"/>
    <w:rsid w:val="00BF0340"/>
    <w:rsid w:val="00C852BE"/>
    <w:rsid w:val="00C90748"/>
    <w:rsid w:val="00CE49F0"/>
    <w:rsid w:val="00CE7202"/>
    <w:rsid w:val="00CF249D"/>
    <w:rsid w:val="00D20280"/>
    <w:rsid w:val="00D31FF9"/>
    <w:rsid w:val="00D345CB"/>
    <w:rsid w:val="00D612DF"/>
    <w:rsid w:val="00D81147"/>
    <w:rsid w:val="00D84B8E"/>
    <w:rsid w:val="00DB3FBE"/>
    <w:rsid w:val="00DC6790"/>
    <w:rsid w:val="00E024A5"/>
    <w:rsid w:val="00E2764D"/>
    <w:rsid w:val="00E301BD"/>
    <w:rsid w:val="00E470DC"/>
    <w:rsid w:val="00E84D21"/>
    <w:rsid w:val="00EB13A4"/>
    <w:rsid w:val="00EF755D"/>
    <w:rsid w:val="00F27714"/>
    <w:rsid w:val="00F4438A"/>
    <w:rsid w:val="00F46B2E"/>
    <w:rsid w:val="00F855B6"/>
    <w:rsid w:val="00FA0E46"/>
    <w:rsid w:val="00FC51BA"/>
    <w:rsid w:val="00FF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3469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B3469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DC679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9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0A5A"/>
  </w:style>
  <w:style w:type="paragraph" w:styleId="a9">
    <w:name w:val="footer"/>
    <w:basedOn w:val="a"/>
    <w:link w:val="aa"/>
    <w:uiPriority w:val="99"/>
    <w:unhideWhenUsed/>
    <w:rsid w:val="0069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0A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3469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B3469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DC679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9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0A5A"/>
  </w:style>
  <w:style w:type="paragraph" w:styleId="a9">
    <w:name w:val="footer"/>
    <w:basedOn w:val="a"/>
    <w:link w:val="aa"/>
    <w:uiPriority w:val="99"/>
    <w:unhideWhenUsed/>
    <w:rsid w:val="0069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WTO3</dc:creator>
  <cp:lastModifiedBy>Петрова Дарья Андреевна</cp:lastModifiedBy>
  <cp:revision>3</cp:revision>
  <dcterms:created xsi:type="dcterms:W3CDTF">2016-04-25T14:06:00Z</dcterms:created>
  <dcterms:modified xsi:type="dcterms:W3CDTF">2016-04-25T14:07:00Z</dcterms:modified>
</cp:coreProperties>
</file>