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C35B0" w:rsidRPr="008A6BEF" w:rsidP="00CC35B0" w14:paraId="747425D3" w14:textId="77777777">
      <w:pPr>
        <w:contextualSpacing/>
        <w:jc w:val="center"/>
        <w:rPr>
          <w:snapToGrid w:val="0"/>
          <w:sz w:val="16"/>
          <w:szCs w:val="16"/>
          <w:lang w:eastAsia="en-US"/>
        </w:rPr>
      </w:pPr>
      <w:r>
        <w:rPr>
          <w:snapToGrid w:val="0"/>
          <w:sz w:val="16"/>
          <w:szCs w:val="16"/>
          <w:lang w:eastAsia="en-US"/>
        </w:rPr>
        <w:t xml:space="preserve">  </w:t>
      </w:r>
      <w:r w:rsidRPr="008A6BEF">
        <w:rPr>
          <w:rFonts w:asciiTheme="minorHAnsi" w:eastAsiaTheme="minorHAnsi" w:hAnsiTheme="minorHAnsi" w:cstheme="minorBidi"/>
          <w:noProof/>
          <w:sz w:val="22"/>
          <w:szCs w:val="22"/>
        </w:rPr>
        <w:drawing>
          <wp:inline distT="0" distB="0" distL="0" distR="0">
            <wp:extent cx="1112692" cy="714375"/>
            <wp:effectExtent l="0" t="0" r="0" b="0"/>
            <wp:docPr id="4" name="Рисунок 4" descr="C:\Users\sosedova\Desktop\EAEU_si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045563" name="Picture 1" descr="C:\Users\sosedova\Desktop\EAEU_sing_cmyk.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7035" cy="717163"/>
                    </a:xfrm>
                    <a:prstGeom prst="rect">
                      <a:avLst/>
                    </a:prstGeom>
                    <a:noFill/>
                    <a:ln>
                      <a:noFill/>
                    </a:ln>
                  </pic:spPr>
                </pic:pic>
              </a:graphicData>
            </a:graphic>
          </wp:inline>
        </w:drawing>
      </w:r>
    </w:p>
    <w:p w:rsidR="00CC35B0" w:rsidRPr="008A6BEF" w:rsidP="00CC35B0" w14:paraId="26DC0D75" w14:textId="77777777">
      <w:pPr>
        <w:contextualSpacing/>
        <w:jc w:val="center"/>
        <w:rPr>
          <w:snapToGrid w:val="0"/>
          <w:sz w:val="16"/>
          <w:szCs w:val="16"/>
          <w:lang w:eastAsia="en-US"/>
        </w:rPr>
      </w:pPr>
    </w:p>
    <w:p w:rsidR="00CC35B0" w:rsidRPr="008A6BEF" w:rsidP="00CC35B0" w14:paraId="62FD1A71" w14:textId="77777777">
      <w:pPr>
        <w:bidi w:val="0"/>
        <w:contextualSpacing/>
        <w:jc w:val="center"/>
        <w:rPr>
          <w:b/>
          <w:color w:val="00417E"/>
          <w:sz w:val="32"/>
          <w:szCs w:val="32"/>
        </w:rPr>
      </w:pPr>
      <w:r w:rsidRPr="008A6BEF">
        <w:rPr>
          <w:b/>
          <w:color w:val="00417E"/>
          <w:sz w:val="32"/>
          <w:szCs w:val="32"/>
          <w:rtl w:val="0"/>
          <w:lang w:val="en"/>
        </w:rPr>
        <w:t>THE EURASIAN ECONOMIC COMMISSION</w:t>
      </w:r>
    </w:p>
    <w:p w:rsidR="00CC35B0" w:rsidRPr="008A6BEF" w:rsidP="00CC35B0" w14:paraId="22EC5232" w14:textId="77777777">
      <w:pPr>
        <w:bidi w:val="0"/>
        <w:spacing w:after="200"/>
        <w:jc w:val="center"/>
        <w:rPr>
          <w:b/>
          <w:snapToGrid w:val="0"/>
          <w:color w:val="00417E"/>
          <w:sz w:val="36"/>
          <w:szCs w:val="36"/>
          <w:lang w:eastAsia="en-US"/>
        </w:rPr>
      </w:pPr>
      <w:r w:rsidRPr="008A6BEF">
        <w:rPr>
          <w:b/>
          <w:snapToGrid w:val="0"/>
          <w:color w:val="00417E"/>
          <w:sz w:val="36"/>
          <w:szCs w:val="36"/>
          <w:rtl w:val="0"/>
          <w:lang w:val="en" w:eastAsia="en-US"/>
        </w:rPr>
        <w:t>THE COUNCIL</w:t>
      </w:r>
    </w:p>
    <w:p w:rsidR="00CC35B0" w:rsidRPr="008A6BEF" w:rsidP="00CC35B0" w14:paraId="5F1A0647" w14:textId="77777777">
      <w:pPr>
        <w:ind w:firstLine="709"/>
        <w:jc w:val="both"/>
        <w:rPr>
          <w:sz w:val="30"/>
          <w:szCs w:val="30"/>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1904</wp:posOffset>
                </wp:positionV>
                <wp:extent cx="5931535" cy="0"/>
                <wp:effectExtent l="0" t="19050" r="12065" b="19050"/>
                <wp:wrapNone/>
                <wp:docPr id="8" name="Прямая со стрелкой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1535" cy="0"/>
                        </a:xfrm>
                        <a:prstGeom prst="straightConnector1">
                          <a:avLst/>
                        </a:prstGeom>
                        <a:noFill/>
                        <a:ln w="28575">
                          <a:solidFill>
                            <a:srgbClr val="00417E"/>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5" type="#_x0000_t32" style="width:467.05pt;height:0;margin-top:0.15pt;margin-left:0.1pt;mso-height-percent:0;mso-height-relative:page;mso-width-percent:0;mso-width-relative:page;mso-wrap-distance-bottom:-0pt;mso-wrap-distance-left:9pt;mso-wrap-distance-right:9pt;mso-wrap-distance-top:-0pt;mso-wrap-style:square;position:absolute;visibility:visible;z-index:251659264" strokecolor="#00417e" strokeweight="2.25pt"/>
            </w:pict>
          </mc:Fallback>
        </mc:AlternateContent>
      </w:r>
    </w:p>
    <w:p w:rsidR="00CC35B0" w:rsidRPr="008A6BEF" w:rsidP="00CC35B0" w14:paraId="046FC1E4" w14:textId="77777777">
      <w:pPr>
        <w:ind w:firstLine="709"/>
        <w:jc w:val="both"/>
        <w:rPr>
          <w:sz w:val="30"/>
          <w:szCs w:val="30"/>
        </w:rPr>
      </w:pPr>
    </w:p>
    <w:p w:rsidR="00CC35B0" w:rsidP="00CC35B0" w14:paraId="4E6DF11D" w14:textId="77777777">
      <w:pPr>
        <w:bidi w:val="0"/>
        <w:contextualSpacing/>
        <w:jc w:val="center"/>
        <w:rPr>
          <w:b/>
          <w:snapToGrid w:val="0"/>
          <w:spacing w:val="80"/>
          <w:sz w:val="30"/>
          <w:szCs w:val="30"/>
          <w:lang w:eastAsia="en-US"/>
        </w:rPr>
      </w:pPr>
      <w:r>
        <w:rPr>
          <w:b/>
          <w:snapToGrid w:val="0"/>
          <w:spacing w:val="80"/>
          <w:sz w:val="30"/>
          <w:szCs w:val="30"/>
          <w:rtl w:val="0"/>
          <w:lang w:val="en" w:eastAsia="en-US"/>
        </w:rPr>
        <w:t>DECISION</w:t>
      </w:r>
    </w:p>
    <w:p w:rsidR="00DC15F8" w:rsidRPr="00F23135" w:rsidP="00CC35B0" w14:paraId="6AC7C298" w14:textId="77777777">
      <w:pPr>
        <w:contextualSpacing/>
        <w:jc w:val="center"/>
        <w:rPr>
          <w:b/>
          <w:snapToGrid w:val="0"/>
          <w:spacing w:val="80"/>
          <w:lang w:eastAsia="en-US"/>
        </w:rPr>
      </w:pPr>
    </w:p>
    <w:tbl>
      <w:tblPr>
        <w:tblW w:w="0" w:type="auto"/>
        <w:tblInd w:w="108" w:type="dxa"/>
        <w:tblLayout w:type="fixed"/>
        <w:tblLook w:val="04A0"/>
      </w:tblPr>
      <w:tblGrid>
        <w:gridCol w:w="3544"/>
        <w:gridCol w:w="2126"/>
        <w:gridCol w:w="3793"/>
      </w:tblGrid>
      <w:tr w14:paraId="52B1C2D4" w14:textId="77777777" w:rsidTr="00DC15F8">
        <w:tblPrEx>
          <w:tblW w:w="0" w:type="auto"/>
          <w:tblInd w:w="108" w:type="dxa"/>
          <w:tblLayout w:type="fixed"/>
          <w:tblLook w:val="04A0"/>
        </w:tblPrEx>
        <w:tc>
          <w:tcPr>
            <w:tcW w:w="3544" w:type="dxa"/>
            <w:hideMark/>
          </w:tcPr>
          <w:p w:rsidR="00DC15F8" w:rsidP="00D23910" w14:paraId="0C8131FD" w14:textId="77777777">
            <w:pPr>
              <w:tabs>
                <w:tab w:val="left" w:pos="7088"/>
              </w:tabs>
              <w:autoSpaceDE w:val="0"/>
              <w:autoSpaceDN w:val="0"/>
              <w:bidi w:val="0"/>
              <w:adjustRightInd w:val="0"/>
              <w:ind w:left="-113"/>
              <w:jc w:val="both"/>
              <w:rPr>
                <w:bCs/>
                <w:sz w:val="30"/>
                <w:szCs w:val="30"/>
              </w:rPr>
            </w:pPr>
            <w:r>
              <w:rPr>
                <w:bCs/>
                <w:sz w:val="30"/>
                <w:szCs w:val="30"/>
                <w:rtl w:val="0"/>
                <w:lang w:val="en"/>
              </w:rPr>
              <w:t>May 19, 2022</w:t>
            </w:r>
          </w:p>
        </w:tc>
        <w:tc>
          <w:tcPr>
            <w:tcW w:w="2126" w:type="dxa"/>
            <w:hideMark/>
          </w:tcPr>
          <w:p w:rsidR="00DC15F8" w:rsidP="00544F02" w14:paraId="5367789F" w14:textId="0FED0361">
            <w:pPr>
              <w:tabs>
                <w:tab w:val="left" w:pos="7088"/>
              </w:tabs>
              <w:autoSpaceDE w:val="0"/>
              <w:autoSpaceDN w:val="0"/>
              <w:bidi w:val="0"/>
              <w:adjustRightInd w:val="0"/>
              <w:ind w:firstLine="639"/>
              <w:jc w:val="both"/>
              <w:rPr>
                <w:b/>
                <w:bCs/>
                <w:sz w:val="30"/>
                <w:szCs w:val="30"/>
              </w:rPr>
            </w:pPr>
            <w:r>
              <w:rPr>
                <w:b/>
                <w:bCs/>
                <w:sz w:val="30"/>
                <w:szCs w:val="30"/>
                <w:rtl w:val="0"/>
                <w:lang w:val="en"/>
              </w:rPr>
              <w:t>No. 84</w:t>
            </w:r>
          </w:p>
        </w:tc>
        <w:tc>
          <w:tcPr>
            <w:tcW w:w="3793" w:type="dxa"/>
            <w:hideMark/>
          </w:tcPr>
          <w:p w:rsidR="00DC15F8" w:rsidP="00D23910" w14:paraId="438B5111" w14:textId="151614F1">
            <w:pPr>
              <w:tabs>
                <w:tab w:val="left" w:pos="7088"/>
              </w:tabs>
              <w:autoSpaceDE w:val="0"/>
              <w:autoSpaceDN w:val="0"/>
              <w:bidi w:val="0"/>
              <w:adjustRightInd w:val="0"/>
              <w:ind w:right="107"/>
              <w:jc w:val="right"/>
              <w:rPr>
                <w:bCs/>
                <w:sz w:val="30"/>
                <w:szCs w:val="30"/>
              </w:rPr>
            </w:pPr>
            <w:r>
              <w:rPr>
                <w:bCs/>
                <w:sz w:val="30"/>
                <w:szCs w:val="30"/>
                <w:rtl w:val="0"/>
                <w:lang w:val="en"/>
              </w:rPr>
              <w:t>Bishkek</w:t>
            </w:r>
          </w:p>
        </w:tc>
      </w:tr>
    </w:tbl>
    <w:p w:rsidR="00CC35B0" w:rsidRPr="00275A49" w:rsidP="00CC35B0" w14:paraId="088C2E10" w14:textId="77777777">
      <w:pPr>
        <w:ind w:firstLine="709"/>
        <w:jc w:val="both"/>
        <w:rPr>
          <w:snapToGrid w:val="0"/>
          <w:sz w:val="16"/>
          <w:szCs w:val="16"/>
          <w:lang w:eastAsia="en-US"/>
        </w:rPr>
      </w:pPr>
    </w:p>
    <w:p w:rsidR="00C06DE6" w:rsidP="00CC35B0" w14:paraId="04CFD6A3" w14:textId="77777777">
      <w:pPr>
        <w:jc w:val="center"/>
        <w:rPr>
          <w:b/>
          <w:sz w:val="30"/>
          <w:szCs w:val="30"/>
        </w:rPr>
      </w:pPr>
    </w:p>
    <w:p w:rsidR="00FF0FB6" w:rsidP="00CC35B0" w14:paraId="3469CEE2" w14:textId="77777777">
      <w:pPr>
        <w:bidi w:val="0"/>
        <w:jc w:val="center"/>
        <w:rPr>
          <w:b/>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01.75pt;height:257.8pt;margin-top:-249.1pt;margin-left:-23.55pt;position:absolute;z-index:-251656192" o:oleicon="f">
            <v:imagedata r:id="rId5" o:title=""/>
          </v:shape>
          <o:OLEObject Type="Embed" ProgID="PBrush" ShapeID="_x0000_s1026" DrawAspect="Content" ObjectID="_1752927400" r:id="rId6"/>
        </w:pict>
      </w:r>
      <w:r w:rsidRPr="00CE4E23" w:rsidR="00CC35B0">
        <w:rPr>
          <w:b/>
          <w:sz w:val="30"/>
          <w:szCs w:val="30"/>
          <w:rtl w:val="0"/>
          <w:lang w:val="en"/>
        </w:rPr>
        <w:t>On amending the Rules for Marketing Authorization and Expert Examination of Medical Device Security, Quality and Efficiency</w:t>
      </w:r>
    </w:p>
    <w:p w:rsidR="00C06DE6" w:rsidP="00CC35B0" w14:paraId="5A327942" w14:textId="77777777">
      <w:pPr>
        <w:jc w:val="center"/>
        <w:rPr>
          <w:b/>
          <w:sz w:val="30"/>
          <w:szCs w:val="30"/>
        </w:rPr>
      </w:pPr>
    </w:p>
    <w:p w:rsidR="00C06DE6" w:rsidP="00CC35B0" w14:paraId="5D62CBEA" w14:textId="77777777">
      <w:pPr>
        <w:jc w:val="center"/>
        <w:rPr>
          <w:b/>
          <w:sz w:val="30"/>
          <w:szCs w:val="30"/>
        </w:rPr>
      </w:pPr>
    </w:p>
    <w:p w:rsidR="00CC35B0" w:rsidP="00B33389" w14:paraId="3235C246" w14:textId="0B2E1661">
      <w:pPr>
        <w:bidi w:val="0"/>
        <w:spacing w:line="360" w:lineRule="auto"/>
        <w:ind w:firstLine="697"/>
        <w:jc w:val="both"/>
        <w:rPr>
          <w:b/>
          <w:color w:val="000000"/>
          <w:sz w:val="30"/>
          <w:szCs w:val="30"/>
        </w:rPr>
      </w:pPr>
      <w:r w:rsidRPr="00CE4E23">
        <w:rPr>
          <w:color w:val="000000"/>
          <w:sz w:val="30"/>
          <w:szCs w:val="30"/>
          <w:rtl w:val="0"/>
          <w:lang w:val="en"/>
        </w:rPr>
        <w:t>In accordance with Paragraph 2, Article 31 of the Treaty on the Eurasian Economic Union dated May 29, 2014, Paragraphs 2 and 4, Article 4 of the Agreement on Unified Principles and Rules for the Circulation of Medical Devices (Medical Accessories and Medical Equipment) within the Eurasian Economic Union dated December 23, 2014, Paragraph 92 of Annex 1 to the Rules of Procedure of the Eurasian Economic Commission approved by Decision No. 98 of the Supreme Eurasian Economic Council dated December 23, 2014, the Eurasian Economic Commission</w:t>
      </w:r>
      <w:r w:rsidRPr="00A339B7">
        <w:rPr>
          <w:sz w:val="30"/>
          <w:szCs w:val="30"/>
          <w:rtl w:val="0"/>
          <w:lang w:val="en"/>
        </w:rPr>
        <w:t>'</w:t>
      </w:r>
      <w:r w:rsidRPr="00CE4E23">
        <w:rPr>
          <w:color w:val="000000"/>
          <w:sz w:val="30"/>
          <w:szCs w:val="30"/>
          <w:rtl w:val="0"/>
          <w:lang w:val="en"/>
        </w:rPr>
        <w:t xml:space="preserve">s Council </w:t>
      </w:r>
      <w:r w:rsidRPr="00B40281">
        <w:rPr>
          <w:b/>
          <w:color w:val="000000"/>
          <w:spacing w:val="40"/>
          <w:sz w:val="30"/>
          <w:szCs w:val="30"/>
          <w:rtl w:val="0"/>
          <w:lang w:val="en"/>
        </w:rPr>
        <w:t>decided</w:t>
      </w:r>
      <w:r w:rsidRPr="00CE4E23">
        <w:rPr>
          <w:color w:val="000000"/>
          <w:sz w:val="30"/>
          <w:szCs w:val="30"/>
          <w:rtl w:val="0"/>
          <w:lang w:val="en"/>
        </w:rPr>
        <w:t>:</w:t>
      </w:r>
    </w:p>
    <w:p w:rsidR="003D1698" w:rsidRPr="003D1698" w:rsidP="00B33389" w14:paraId="536AD158" w14:textId="021D3CE4">
      <w:pPr>
        <w:bidi w:val="0"/>
        <w:spacing w:line="360" w:lineRule="auto"/>
        <w:ind w:firstLine="697"/>
        <w:jc w:val="both"/>
        <w:rPr>
          <w:sz w:val="30"/>
          <w:szCs w:val="30"/>
        </w:rPr>
      </w:pPr>
      <w:r>
        <w:rPr>
          <w:sz w:val="30"/>
          <w:szCs w:val="30"/>
          <w:rtl w:val="0"/>
          <w:lang w:val="en"/>
        </w:rPr>
        <w:t>1. To revise the second indent of paragraph 1 of the Rules for Marketing Authorization and Expert Examination of Medical Device Security, Quality and Efficiency approved by Decision No. 46 of the Eurasian Economic Commission's Council dated February 12, 2016 to be read as follows:</w:t>
      </w:r>
    </w:p>
    <w:p w:rsidR="00D6415D" w:rsidP="00B33389" w14:paraId="43EDF59C" w14:textId="72A3C063">
      <w:pPr>
        <w:bidi w:val="0"/>
        <w:spacing w:line="360" w:lineRule="auto"/>
        <w:ind w:firstLine="697"/>
        <w:jc w:val="both"/>
        <w:rPr>
          <w:sz w:val="30"/>
          <w:szCs w:val="30"/>
        </w:rPr>
      </w:pPr>
      <w:r w:rsidRPr="00D6415D">
        <w:rPr>
          <w:sz w:val="30"/>
          <w:szCs w:val="30"/>
          <w:rtl w:val="0"/>
          <w:lang w:val="en"/>
        </w:rPr>
        <w:t>“The requirements of these Rules may not apply to medical devices the marketing of which is regulated by the legislation of the Union Member States (hereinafter referred to as the Member States) and which are intended for use under conditions of military operations, the emergence, liquidation and prevention of accidents, the threat of the spread of epidemic diseases, hazardous to others, prevention, diagnosis and treatment of diseases and lesions resulting from exposure to adverse chemical, biological, radiation factors, and in the event of threat of absence or absence of medical devices on the markets of the Member States in the context of restrictive economic measures introduced in relation to at least one of the Member States. Non-application of the requirements of these Rules is allowed only during the validity of the above conditions.".</w:t>
      </w:r>
    </w:p>
    <w:p w:rsidR="00CC35B0" w:rsidP="00B33389" w14:paraId="1AF436F1" w14:textId="0F188610">
      <w:pPr>
        <w:pStyle w:val="ListParagraph"/>
        <w:tabs>
          <w:tab w:val="left" w:pos="1080"/>
        </w:tabs>
        <w:bidi w:val="0"/>
        <w:spacing w:line="360" w:lineRule="auto"/>
        <w:ind w:left="0" w:firstLine="709"/>
        <w:jc w:val="both"/>
        <w:rPr>
          <w:sz w:val="30"/>
          <w:szCs w:val="30"/>
        </w:rPr>
      </w:pPr>
      <w:r>
        <w:rPr>
          <w:sz w:val="30"/>
          <w:szCs w:val="30"/>
          <w:rtl w:val="0"/>
          <w:lang w:val="en"/>
        </w:rPr>
        <w:t>2. This Decision shall come into effect after 10 calendar days have elapsed from the date of its official publication.</w:t>
      </w:r>
    </w:p>
    <w:p w:rsidR="00DC15F8" w:rsidRPr="00DC15F8" w:rsidP="00CC35B0" w14:paraId="25EC8A27" w14:textId="77777777">
      <w:pPr>
        <w:pStyle w:val="ListParagraph"/>
        <w:tabs>
          <w:tab w:val="left" w:pos="1080"/>
        </w:tabs>
        <w:spacing w:line="312" w:lineRule="auto"/>
        <w:ind w:left="0" w:firstLine="709"/>
        <w:jc w:val="both"/>
        <w:rPr>
          <w:sz w:val="16"/>
          <w:szCs w:val="16"/>
        </w:rPr>
      </w:pPr>
    </w:p>
    <w:p w:rsidR="00DC15F8" w:rsidP="00DC15F8" w14:paraId="7E7CC265" w14:textId="77777777">
      <w:pPr>
        <w:bidi w:val="0"/>
        <w:jc w:val="center"/>
        <w:rPr>
          <w:rFonts w:eastAsia="Calibri"/>
          <w:b/>
          <w:color w:val="000000"/>
          <w:sz w:val="28"/>
          <w:szCs w:val="28"/>
        </w:rPr>
      </w:pPr>
      <w:r w:rsidRPr="00A12F6C">
        <w:rPr>
          <w:rFonts w:eastAsia="Calibri"/>
          <w:b/>
          <w:color w:val="000000"/>
          <w:sz w:val="28"/>
          <w:szCs w:val="28"/>
          <w:rtl w:val="0"/>
          <w:lang w:val="en"/>
        </w:rPr>
        <w:t>Members of the Eurasian Economic Commission's Council:</w:t>
      </w:r>
    </w:p>
    <w:p w:rsidR="00DC15F8" w:rsidRPr="00F23135" w:rsidP="00F23135" w14:paraId="133AA0CB" w14:textId="77777777">
      <w:pPr>
        <w:jc w:val="center"/>
        <w:rPr>
          <w:rFonts w:eastAsia="Calibri"/>
          <w:b/>
          <w:color w:val="000000"/>
        </w:rPr>
      </w:pPr>
    </w:p>
    <w:p w:rsidR="00DC15F8" w:rsidRPr="00DC15F8" w:rsidP="00DC15F8" w14:paraId="4B374836" w14:textId="77777777">
      <w:pPr>
        <w:tabs>
          <w:tab w:val="left" w:pos="1080"/>
        </w:tabs>
        <w:spacing w:line="312" w:lineRule="auto"/>
        <w:jc w:val="both"/>
        <w:rPr>
          <w:sz w:val="2"/>
          <w:szCs w:val="2"/>
        </w:rPr>
      </w:pPr>
    </w:p>
    <w:tbl>
      <w:tblPr>
        <w:tblW w:w="9905" w:type="dxa"/>
        <w:jc w:val="center"/>
        <w:tblLayout w:type="fixed"/>
        <w:tblLook w:val="01E0"/>
      </w:tblPr>
      <w:tblGrid>
        <w:gridCol w:w="1977"/>
        <w:gridCol w:w="1985"/>
        <w:gridCol w:w="1984"/>
        <w:gridCol w:w="2127"/>
        <w:gridCol w:w="1832"/>
      </w:tblGrid>
      <w:tr w14:paraId="5DED9758" w14:textId="77777777" w:rsidTr="004757C6">
        <w:tblPrEx>
          <w:tblW w:w="9905" w:type="dxa"/>
          <w:jc w:val="center"/>
          <w:tblLayout w:type="fixed"/>
          <w:tblLook w:val="01E0"/>
        </w:tblPrEx>
        <w:trPr>
          <w:cantSplit/>
          <w:trHeight w:val="675"/>
          <w:jc w:val="center"/>
        </w:trPr>
        <w:tc>
          <w:tcPr>
            <w:tcW w:w="1977" w:type="dxa"/>
            <w:vAlign w:val="center"/>
            <w:hideMark/>
          </w:tcPr>
          <w:p w:rsidR="0026700C" w:rsidRPr="00E450EA" w:rsidP="004757C6" w14:paraId="22DA2FDD" w14:textId="77777777">
            <w:pPr>
              <w:bidi w:val="0"/>
              <w:ind w:left="26" w:right="-113"/>
              <w:jc w:val="center"/>
              <w:rPr>
                <w:rFonts w:ascii="Times New Roman Полужирный" w:hAnsi="Times New Roman Полужирный"/>
                <w:spacing w:val="-10"/>
                <w:sz w:val="28"/>
                <w:szCs w:val="28"/>
              </w:rPr>
            </w:pPr>
            <w:r w:rsidRPr="00E450EA">
              <w:rPr>
                <w:rFonts w:ascii="Times New Roman Полужирный" w:hAnsi="Times New Roman Полужирный"/>
                <w:b/>
                <w:spacing w:val="-10"/>
                <w:sz w:val="28"/>
                <w:szCs w:val="28"/>
                <w:rtl w:val="0"/>
                <w:lang w:val="en"/>
              </w:rPr>
              <w:t>For the Republic of</w:t>
              <w:br/>
              <w:t>Armenia</w:t>
            </w:r>
          </w:p>
        </w:tc>
        <w:tc>
          <w:tcPr>
            <w:tcW w:w="1985" w:type="dxa"/>
            <w:vAlign w:val="center"/>
            <w:hideMark/>
          </w:tcPr>
          <w:p w:rsidR="0026700C" w:rsidRPr="00E450EA" w:rsidP="004757C6" w14:paraId="276AE882" w14:textId="77777777">
            <w:pPr>
              <w:bidi w:val="0"/>
              <w:ind w:left="-113" w:right="-113"/>
              <w:jc w:val="center"/>
              <w:rPr>
                <w:rFonts w:ascii="Times New Roman Полужирный" w:hAnsi="Times New Roman Полужирный"/>
                <w:spacing w:val="-10"/>
                <w:sz w:val="28"/>
                <w:szCs w:val="28"/>
              </w:rPr>
            </w:pPr>
            <w:r w:rsidRPr="00E450EA">
              <w:rPr>
                <w:rFonts w:ascii="Times New Roman Полужирный" w:hAnsi="Times New Roman Полужирный"/>
                <w:b/>
                <w:spacing w:val="-10"/>
                <w:sz w:val="28"/>
                <w:szCs w:val="28"/>
                <w:rtl w:val="0"/>
                <w:lang w:val="en"/>
              </w:rPr>
              <w:t>For the Republic of</w:t>
              <w:br/>
              <w:t>Belarus</w:t>
            </w:r>
          </w:p>
        </w:tc>
        <w:tc>
          <w:tcPr>
            <w:tcW w:w="1984" w:type="dxa"/>
            <w:vAlign w:val="center"/>
            <w:hideMark/>
          </w:tcPr>
          <w:p w:rsidR="0026700C" w:rsidRPr="00E450EA" w:rsidP="004757C6" w14:paraId="4B66980C" w14:textId="77777777">
            <w:pPr>
              <w:bidi w:val="0"/>
              <w:ind w:left="-113" w:right="-113"/>
              <w:jc w:val="center"/>
              <w:rPr>
                <w:rFonts w:ascii="Times New Roman Полужирный" w:hAnsi="Times New Roman Полужирный"/>
                <w:b/>
                <w:spacing w:val="-10"/>
                <w:sz w:val="28"/>
                <w:szCs w:val="28"/>
              </w:rPr>
            </w:pPr>
            <w:r w:rsidRPr="00E450EA">
              <w:rPr>
                <w:rFonts w:ascii="Times New Roman Полужирный" w:hAnsi="Times New Roman Полужирный"/>
                <w:b/>
                <w:spacing w:val="-10"/>
                <w:sz w:val="28"/>
                <w:szCs w:val="28"/>
                <w:rtl w:val="0"/>
                <w:lang w:val="en"/>
              </w:rPr>
              <w:t>For the Republic of</w:t>
              <w:br/>
              <w:t>Kazakhstan</w:t>
            </w:r>
          </w:p>
        </w:tc>
        <w:tc>
          <w:tcPr>
            <w:tcW w:w="2127" w:type="dxa"/>
            <w:vAlign w:val="center"/>
          </w:tcPr>
          <w:p w:rsidR="0026700C" w:rsidRPr="00E450EA" w:rsidP="004757C6" w14:paraId="39E3CF83" w14:textId="77777777">
            <w:pPr>
              <w:bidi w:val="0"/>
              <w:ind w:left="-57" w:right="-113"/>
              <w:jc w:val="center"/>
              <w:rPr>
                <w:rFonts w:ascii="Times New Roman Полужирный" w:hAnsi="Times New Roman Полужирный"/>
                <w:b/>
                <w:spacing w:val="-10"/>
                <w:sz w:val="28"/>
                <w:szCs w:val="28"/>
              </w:rPr>
            </w:pPr>
            <w:r w:rsidRPr="00E450EA">
              <w:rPr>
                <w:rFonts w:ascii="Times New Roman Полужирный" w:hAnsi="Times New Roman Полужирный"/>
                <w:b/>
                <w:spacing w:val="-10"/>
                <w:sz w:val="28"/>
                <w:szCs w:val="28"/>
                <w:rtl w:val="0"/>
                <w:lang w:val="en"/>
              </w:rPr>
              <w:t>For the</w:t>
              <w:br/>
              <w:t>Kyrgyz Republic</w:t>
            </w:r>
          </w:p>
        </w:tc>
        <w:tc>
          <w:tcPr>
            <w:tcW w:w="1832" w:type="dxa"/>
            <w:vAlign w:val="center"/>
          </w:tcPr>
          <w:p w:rsidR="0026700C" w:rsidRPr="00E450EA" w:rsidP="004757C6" w14:paraId="739CB58B" w14:textId="77777777">
            <w:pPr>
              <w:bidi w:val="0"/>
              <w:ind w:left="-113" w:right="-113"/>
              <w:jc w:val="center"/>
              <w:rPr>
                <w:rFonts w:ascii="Times New Roman Полужирный" w:hAnsi="Times New Roman Полужирный"/>
                <w:b/>
                <w:spacing w:val="-10"/>
                <w:sz w:val="28"/>
                <w:szCs w:val="28"/>
              </w:rPr>
            </w:pPr>
            <w:r w:rsidRPr="00E450EA">
              <w:rPr>
                <w:rFonts w:ascii="Times New Roman Полужирный" w:hAnsi="Times New Roman Полужирный"/>
                <w:b/>
                <w:spacing w:val="-10"/>
                <w:sz w:val="28"/>
                <w:szCs w:val="28"/>
                <w:rtl w:val="0"/>
                <w:lang w:val="en"/>
              </w:rPr>
              <w:t>For the Russian</w:t>
              <w:br/>
              <w:t xml:space="preserve"> Federation</w:t>
            </w:r>
          </w:p>
        </w:tc>
      </w:tr>
      <w:tr w14:paraId="66D7ACF4" w14:textId="77777777" w:rsidTr="004757C6">
        <w:tblPrEx>
          <w:tblW w:w="9905" w:type="dxa"/>
          <w:jc w:val="center"/>
          <w:tblLayout w:type="fixed"/>
          <w:tblLook w:val="01E0"/>
        </w:tblPrEx>
        <w:trPr>
          <w:cantSplit/>
          <w:trHeight w:val="70"/>
          <w:jc w:val="center"/>
        </w:trPr>
        <w:tc>
          <w:tcPr>
            <w:tcW w:w="1977" w:type="dxa"/>
            <w:vAlign w:val="center"/>
          </w:tcPr>
          <w:p w:rsidR="0026700C" w:rsidRPr="00F23135" w:rsidP="004757C6" w14:paraId="7ED402ED" w14:textId="77777777">
            <w:pPr>
              <w:ind w:left="26" w:right="-68"/>
              <w:jc w:val="center"/>
              <w:rPr>
                <w:b/>
                <w:spacing w:val="-10"/>
                <w:sz w:val="27"/>
                <w:szCs w:val="27"/>
              </w:rPr>
            </w:pPr>
          </w:p>
          <w:p w:rsidR="0026700C" w:rsidRPr="00F23135" w:rsidP="004757C6" w14:paraId="268136E2" w14:textId="77777777">
            <w:pPr>
              <w:ind w:left="26" w:right="-68"/>
              <w:jc w:val="center"/>
              <w:rPr>
                <w:b/>
                <w:spacing w:val="-10"/>
                <w:sz w:val="27"/>
                <w:szCs w:val="27"/>
              </w:rPr>
            </w:pPr>
          </w:p>
          <w:p w:rsidR="0026700C" w:rsidRPr="00F23135" w:rsidP="004757C6" w14:paraId="46234E73" w14:textId="77777777">
            <w:pPr>
              <w:ind w:left="26" w:right="-68"/>
              <w:jc w:val="center"/>
              <w:rPr>
                <w:b/>
                <w:spacing w:val="-10"/>
                <w:sz w:val="27"/>
                <w:szCs w:val="27"/>
              </w:rPr>
            </w:pPr>
          </w:p>
          <w:p w:rsidR="0026700C" w:rsidRPr="00A354D0" w:rsidP="004757C6" w14:paraId="53855D28" w14:textId="77777777">
            <w:pPr>
              <w:bidi w:val="0"/>
              <w:ind w:left="26" w:right="-113"/>
              <w:jc w:val="center"/>
              <w:rPr>
                <w:b/>
                <w:spacing w:val="-10"/>
                <w:sz w:val="28"/>
                <w:szCs w:val="28"/>
              </w:rPr>
            </w:pPr>
            <w:r w:rsidRPr="00A354D0">
              <w:rPr>
                <w:b/>
                <w:spacing w:val="-10"/>
                <w:sz w:val="28"/>
                <w:szCs w:val="28"/>
                <w:rtl w:val="0"/>
                <w:lang w:val="en"/>
              </w:rPr>
              <w:t>M. Grigoryan</w:t>
            </w:r>
          </w:p>
        </w:tc>
        <w:tc>
          <w:tcPr>
            <w:tcW w:w="1985" w:type="dxa"/>
            <w:vAlign w:val="center"/>
          </w:tcPr>
          <w:p w:rsidR="0026700C" w:rsidRPr="00F23135" w:rsidP="004757C6" w14:paraId="3E539708" w14:textId="77777777">
            <w:pPr>
              <w:ind w:left="-113" w:right="-68"/>
              <w:jc w:val="center"/>
              <w:rPr>
                <w:b/>
                <w:spacing w:val="-10"/>
                <w:sz w:val="27"/>
                <w:szCs w:val="27"/>
              </w:rPr>
            </w:pPr>
          </w:p>
          <w:p w:rsidR="0026700C" w:rsidRPr="00F23135" w:rsidP="004757C6" w14:paraId="27D5DD08" w14:textId="77777777">
            <w:pPr>
              <w:ind w:left="-113" w:right="-68"/>
              <w:jc w:val="center"/>
              <w:rPr>
                <w:b/>
                <w:spacing w:val="-10"/>
                <w:sz w:val="27"/>
                <w:szCs w:val="27"/>
              </w:rPr>
            </w:pPr>
          </w:p>
          <w:p w:rsidR="0026700C" w:rsidRPr="00F23135" w:rsidP="004757C6" w14:paraId="528D4E8D" w14:textId="77777777">
            <w:pPr>
              <w:ind w:left="-113" w:right="-68"/>
              <w:jc w:val="center"/>
              <w:rPr>
                <w:b/>
                <w:spacing w:val="-10"/>
                <w:sz w:val="27"/>
                <w:szCs w:val="27"/>
              </w:rPr>
            </w:pPr>
          </w:p>
          <w:p w:rsidR="0026700C" w:rsidRPr="00A354D0" w:rsidP="00CA4BFD" w14:paraId="120B5E7A" w14:textId="77777777">
            <w:pPr>
              <w:bidi w:val="0"/>
              <w:ind w:left="-113" w:right="-250"/>
              <w:jc w:val="center"/>
              <w:rPr>
                <w:b/>
                <w:spacing w:val="-10"/>
                <w:sz w:val="28"/>
                <w:szCs w:val="28"/>
              </w:rPr>
            </w:pPr>
            <w:r w:rsidRPr="00A354D0">
              <w:rPr>
                <w:b/>
                <w:spacing w:val="-10"/>
                <w:sz w:val="28"/>
                <w:szCs w:val="28"/>
                <w:rtl w:val="0"/>
                <w:lang w:val="en"/>
              </w:rPr>
              <w:t>I. Petrishenko</w:t>
            </w:r>
          </w:p>
        </w:tc>
        <w:tc>
          <w:tcPr>
            <w:tcW w:w="1984" w:type="dxa"/>
            <w:vAlign w:val="center"/>
          </w:tcPr>
          <w:p w:rsidR="0026700C" w:rsidRPr="00F23135" w:rsidP="004757C6" w14:paraId="59342D55" w14:textId="77777777">
            <w:pPr>
              <w:ind w:left="-113" w:right="-68"/>
              <w:jc w:val="center"/>
              <w:rPr>
                <w:b/>
                <w:spacing w:val="-10"/>
                <w:sz w:val="27"/>
                <w:szCs w:val="27"/>
              </w:rPr>
            </w:pPr>
          </w:p>
          <w:p w:rsidR="0026700C" w:rsidRPr="00F23135" w:rsidP="004757C6" w14:paraId="41BC0CDE" w14:textId="77777777">
            <w:pPr>
              <w:ind w:left="-113" w:right="-68"/>
              <w:jc w:val="center"/>
              <w:rPr>
                <w:b/>
                <w:spacing w:val="-10"/>
                <w:sz w:val="27"/>
                <w:szCs w:val="27"/>
              </w:rPr>
            </w:pPr>
          </w:p>
          <w:p w:rsidR="0026700C" w:rsidRPr="00F23135" w:rsidP="004757C6" w14:paraId="66466535" w14:textId="77777777">
            <w:pPr>
              <w:ind w:left="-113" w:right="-68"/>
              <w:jc w:val="center"/>
              <w:rPr>
                <w:b/>
                <w:spacing w:val="-10"/>
                <w:sz w:val="27"/>
                <w:szCs w:val="27"/>
              </w:rPr>
            </w:pPr>
          </w:p>
          <w:p w:rsidR="0026700C" w:rsidRPr="00A354D0" w:rsidP="004757C6" w14:paraId="35A583D0" w14:textId="77777777">
            <w:pPr>
              <w:bidi w:val="0"/>
              <w:ind w:right="-68"/>
              <w:jc w:val="center"/>
              <w:rPr>
                <w:b/>
                <w:spacing w:val="-10"/>
                <w:sz w:val="28"/>
                <w:szCs w:val="28"/>
              </w:rPr>
            </w:pPr>
            <w:r>
              <w:rPr>
                <w:b/>
                <w:spacing w:val="-10"/>
                <w:sz w:val="28"/>
                <w:szCs w:val="28"/>
                <w:rtl w:val="0"/>
                <w:lang w:val="en" w:eastAsia="en-US"/>
              </w:rPr>
              <w:t>B. Sultanov</w:t>
            </w:r>
          </w:p>
        </w:tc>
        <w:tc>
          <w:tcPr>
            <w:tcW w:w="2127" w:type="dxa"/>
            <w:vAlign w:val="bottom"/>
          </w:tcPr>
          <w:p w:rsidR="0026700C" w:rsidRPr="00A354D0" w:rsidP="00AA10FA" w14:paraId="29BE8912" w14:textId="77777777">
            <w:pPr>
              <w:bidi w:val="0"/>
              <w:ind w:left="-113" w:right="-113"/>
              <w:jc w:val="center"/>
              <w:rPr>
                <w:b/>
                <w:spacing w:val="-10"/>
                <w:sz w:val="28"/>
                <w:szCs w:val="28"/>
              </w:rPr>
            </w:pPr>
            <w:r>
              <w:rPr>
                <w:rFonts w:eastAsia="Calibri"/>
                <w:b/>
                <w:spacing w:val="-10"/>
                <w:sz w:val="28"/>
                <w:szCs w:val="28"/>
                <w:rtl w:val="0"/>
                <w:lang w:val="en"/>
              </w:rPr>
              <w:t>A. Kozhoshev</w:t>
            </w:r>
          </w:p>
        </w:tc>
        <w:tc>
          <w:tcPr>
            <w:tcW w:w="1832" w:type="dxa"/>
            <w:vAlign w:val="bottom"/>
          </w:tcPr>
          <w:p w:rsidR="0026700C" w:rsidRPr="00A354D0" w:rsidP="004757C6" w14:paraId="0D9D4E76" w14:textId="77777777">
            <w:pPr>
              <w:bidi w:val="0"/>
              <w:ind w:left="-113" w:right="-68"/>
              <w:jc w:val="center"/>
              <w:rPr>
                <w:b/>
                <w:spacing w:val="-10"/>
                <w:sz w:val="28"/>
                <w:szCs w:val="28"/>
              </w:rPr>
            </w:pPr>
            <w:r w:rsidRPr="00A354D0">
              <w:rPr>
                <w:b/>
                <w:spacing w:val="-10"/>
                <w:sz w:val="28"/>
                <w:szCs w:val="28"/>
                <w:rtl w:val="0"/>
                <w:lang w:val="en"/>
              </w:rPr>
              <w:t>A. Overchuk</w:t>
            </w:r>
          </w:p>
        </w:tc>
      </w:tr>
    </w:tbl>
    <w:p w:rsidR="00CC35B0" w:rsidRPr="003D1698" w:rsidP="00CC35B0" w14:paraId="7B12ED4B" w14:textId="77777777">
      <w:pPr>
        <w:rPr>
          <w:sz w:val="2"/>
          <w:szCs w:val="2"/>
          <w:lang w:val="en-US"/>
        </w:rPr>
      </w:pPr>
    </w:p>
    <w:sectPr w:rsidSect="00F23135">
      <w:headerReference w:type="default" r:id="rId7"/>
      <w:pgSz w:w="11906" w:h="16838"/>
      <w:pgMar w:top="1134" w:right="851" w:bottom="1134" w:left="1701" w:header="709" w:footer="35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45751463"/>
      <w:richText/>
    </w:sdtPr>
    <w:sdtEndPr>
      <w:rPr>
        <w:sz w:val="30"/>
      </w:rPr>
    </w:sdtEndPr>
    <w:sdtContent>
      <w:p w:rsidR="003F27F1" w:rsidRPr="00F33CBB" w14:paraId="2143B32B" w14:textId="77777777">
        <w:pPr>
          <w:pStyle w:val="Header"/>
          <w:jc w:val="center"/>
          <w:rPr>
            <w:sz w:val="30"/>
          </w:rPr>
        </w:pPr>
        <w:r w:rsidRPr="00F33CBB">
          <w:rPr>
            <w:sz w:val="30"/>
          </w:rPr>
          <w:fldChar w:fldCharType="begin"/>
        </w:r>
        <w:r w:rsidRPr="00F33CBB">
          <w:rPr>
            <w:sz w:val="30"/>
          </w:rPr>
          <w:instrText>PAGE   \* MERGEFORMAT</w:instrText>
        </w:r>
        <w:r w:rsidRPr="00F33CBB">
          <w:rPr>
            <w:sz w:val="30"/>
          </w:rPr>
          <w:fldChar w:fldCharType="separate"/>
        </w:r>
        <w:r w:rsidR="00B745A4">
          <w:rPr>
            <w:noProof/>
            <w:sz w:val="30"/>
          </w:rPr>
          <w:t>2</w:t>
        </w:r>
        <w:r w:rsidRPr="00F33CBB">
          <w:rPr>
            <w:sz w:val="30"/>
          </w:rPr>
          <w:fldChar w:fldCharType="end"/>
        </w:r>
      </w:p>
    </w:sdtContent>
  </w:sdt>
  <w:p w:rsidR="003F27F1" w14:paraId="3D3D38A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65B"/>
    <w:rsid w:val="00073486"/>
    <w:rsid w:val="000F471C"/>
    <w:rsid w:val="00142B84"/>
    <w:rsid w:val="00181A8E"/>
    <w:rsid w:val="0026700C"/>
    <w:rsid w:val="00275A49"/>
    <w:rsid w:val="002907C3"/>
    <w:rsid w:val="00323E1A"/>
    <w:rsid w:val="003517CB"/>
    <w:rsid w:val="003C0DCE"/>
    <w:rsid w:val="003D1698"/>
    <w:rsid w:val="003F27F1"/>
    <w:rsid w:val="004434F7"/>
    <w:rsid w:val="00463D19"/>
    <w:rsid w:val="004757C6"/>
    <w:rsid w:val="004D37EA"/>
    <w:rsid w:val="004E7C1E"/>
    <w:rsid w:val="00544F02"/>
    <w:rsid w:val="0055665B"/>
    <w:rsid w:val="00566B34"/>
    <w:rsid w:val="005A27F1"/>
    <w:rsid w:val="005A4CB9"/>
    <w:rsid w:val="005D0155"/>
    <w:rsid w:val="005E7171"/>
    <w:rsid w:val="006577B9"/>
    <w:rsid w:val="006C6B0B"/>
    <w:rsid w:val="00817C54"/>
    <w:rsid w:val="00824D87"/>
    <w:rsid w:val="00856001"/>
    <w:rsid w:val="008725AF"/>
    <w:rsid w:val="008A6BEF"/>
    <w:rsid w:val="008D3F80"/>
    <w:rsid w:val="008E2797"/>
    <w:rsid w:val="00923434"/>
    <w:rsid w:val="009B05CA"/>
    <w:rsid w:val="00A12F6C"/>
    <w:rsid w:val="00A339B7"/>
    <w:rsid w:val="00A354D0"/>
    <w:rsid w:val="00A57B4E"/>
    <w:rsid w:val="00AA10FA"/>
    <w:rsid w:val="00B33389"/>
    <w:rsid w:val="00B40281"/>
    <w:rsid w:val="00B61961"/>
    <w:rsid w:val="00B745A4"/>
    <w:rsid w:val="00BB1670"/>
    <w:rsid w:val="00BE0926"/>
    <w:rsid w:val="00C06DE6"/>
    <w:rsid w:val="00C73CF2"/>
    <w:rsid w:val="00CA2B57"/>
    <w:rsid w:val="00CA4BFD"/>
    <w:rsid w:val="00CC35B0"/>
    <w:rsid w:val="00CE4E23"/>
    <w:rsid w:val="00CF5149"/>
    <w:rsid w:val="00D1473D"/>
    <w:rsid w:val="00D23910"/>
    <w:rsid w:val="00D24C52"/>
    <w:rsid w:val="00D42E05"/>
    <w:rsid w:val="00D6415D"/>
    <w:rsid w:val="00DC15F8"/>
    <w:rsid w:val="00E450EA"/>
    <w:rsid w:val="00E50994"/>
    <w:rsid w:val="00E62994"/>
    <w:rsid w:val="00EC78D9"/>
    <w:rsid w:val="00F23135"/>
    <w:rsid w:val="00F33CBB"/>
    <w:rsid w:val="00F7183B"/>
    <w:rsid w:val="00FE17DF"/>
    <w:rsid w:val="00FF0F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443C8F8-392A-4689-A69C-1017265F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5B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DC15F8"/>
    <w:pPr>
      <w:keepNext/>
      <w:spacing w:after="120"/>
      <w:ind w:left="114" w:right="-68" w:hanging="142"/>
      <w:jc w:val="center"/>
      <w:outlineLvl w:val="0"/>
    </w:pPr>
    <w:rPr>
      <w:rFonts w:ascii="Times New Roman Полужирный" w:eastAsia="Calibri" w:hAnsi="Times New Roman Полужирный" w:cstheme="minorBidi"/>
      <w:b/>
      <w:spacing w:val="-1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5B0"/>
    <w:pPr>
      <w:ind w:left="720"/>
      <w:contextualSpacing/>
    </w:pPr>
  </w:style>
  <w:style w:type="paragraph" w:styleId="Header">
    <w:name w:val="header"/>
    <w:basedOn w:val="Normal"/>
    <w:link w:val="a"/>
    <w:uiPriority w:val="99"/>
    <w:unhideWhenUsed/>
    <w:rsid w:val="00CC35B0"/>
    <w:pPr>
      <w:tabs>
        <w:tab w:val="center" w:pos="4677"/>
        <w:tab w:val="right" w:pos="9355"/>
      </w:tabs>
    </w:pPr>
  </w:style>
  <w:style w:type="character" w:customStyle="1" w:styleId="a">
    <w:name w:val="Верхний колонтитул Знак"/>
    <w:basedOn w:val="DefaultParagraphFont"/>
    <w:link w:val="Header"/>
    <w:uiPriority w:val="99"/>
    <w:rsid w:val="00CC35B0"/>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CC35B0"/>
    <w:rPr>
      <w:rFonts w:ascii="Tahoma" w:hAnsi="Tahoma" w:cs="Tahoma"/>
      <w:sz w:val="16"/>
      <w:szCs w:val="16"/>
    </w:rPr>
  </w:style>
  <w:style w:type="character" w:customStyle="1" w:styleId="a0">
    <w:name w:val="Текст выноски Знак"/>
    <w:basedOn w:val="DefaultParagraphFont"/>
    <w:link w:val="BalloonText"/>
    <w:uiPriority w:val="99"/>
    <w:semiHidden/>
    <w:rsid w:val="00CC35B0"/>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rsid w:val="00DC15F8"/>
    <w:rPr>
      <w:rFonts w:ascii="Times New Roman Полужирный" w:eastAsia="Calibri" w:hAnsi="Times New Roman Полужирный"/>
      <w:b/>
      <w:spacing w:val="-10"/>
      <w:sz w:val="28"/>
      <w:szCs w:val="28"/>
    </w:rPr>
  </w:style>
  <w:style w:type="paragraph" w:customStyle="1" w:styleId="ConsPlusNormal">
    <w:name w:val="ConsPlusNormal"/>
    <w:rsid w:val="005D0155"/>
    <w:pPr>
      <w:widowControl w:val="0"/>
      <w:autoSpaceDE w:val="0"/>
      <w:autoSpaceDN w:val="0"/>
      <w:spacing w:after="0" w:line="240" w:lineRule="auto"/>
    </w:pPr>
    <w:rPr>
      <w:rFonts w:ascii="Calibri" w:eastAsia="Times New Roman" w:hAnsi="Calibri" w:cs="Calibri"/>
      <w:szCs w:val="20"/>
      <w:lang w:eastAsia="ru-RU"/>
    </w:rPr>
  </w:style>
  <w:style w:type="paragraph" w:styleId="Footer">
    <w:name w:val="footer"/>
    <w:basedOn w:val="Normal"/>
    <w:link w:val="a1"/>
    <w:uiPriority w:val="99"/>
    <w:unhideWhenUsed/>
    <w:rsid w:val="00C06DE6"/>
    <w:pPr>
      <w:tabs>
        <w:tab w:val="center" w:pos="4677"/>
        <w:tab w:val="right" w:pos="9355"/>
      </w:tabs>
    </w:pPr>
  </w:style>
  <w:style w:type="character" w:customStyle="1" w:styleId="a1">
    <w:name w:val="Нижний колонтитул Знак"/>
    <w:basedOn w:val="DefaultParagraphFont"/>
    <w:link w:val="Footer"/>
    <w:uiPriority w:val="99"/>
    <w:rsid w:val="00C06D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oleObject" Target="embeddings/oleObject1.bin"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329</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Орманова Гульмира Абуталиповна</dc:creator>
  <cp:lastModifiedBy>Sergei Penkevich</cp:lastModifiedBy>
  <cp:revision>5</cp:revision>
  <cp:lastPrinted>2022-06-09T11:43:00Z</cp:lastPrinted>
  <dcterms:created xsi:type="dcterms:W3CDTF">2022-06-09T11:41:00Z</dcterms:created>
  <dcterms:modified xsi:type="dcterms:W3CDTF">2023-08-07T12:30:00Z</dcterms:modified>
</cp:coreProperties>
</file>