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CA" w:rsidRDefault="00591CAB" w:rsidP="003A7BCA">
      <w:pPr>
        <w:spacing w:after="0" w:line="240" w:lineRule="auto"/>
        <w:contextualSpacing/>
        <w:jc w:val="center"/>
        <w:rPr>
          <w:rFonts w:ascii="Times New Roman" w:eastAsia="Times New Roman" w:hAnsi="Times New Roman" w:cs="Times New Roman"/>
          <w:snapToGrid w:val="0"/>
          <w:sz w:val="16"/>
          <w:szCs w:val="16"/>
        </w:rPr>
      </w:pPr>
      <w:r>
        <w:rPr>
          <w:noProof/>
          <w:lang w:eastAsia="ru-RU"/>
        </w:rPr>
        <w:drawing>
          <wp:inline distT="0" distB="0" distL="0" distR="0">
            <wp:extent cx="1112692" cy="714375"/>
            <wp:effectExtent l="0" t="0" r="0" b="0"/>
            <wp:docPr id="3" name="Рисунок 3"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99435" name="Picture 1" descr="C:\Users\sosedova\Desktop\EAEU_sing_cmyk.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035" cy="717163"/>
                    </a:xfrm>
                    <a:prstGeom prst="rect">
                      <a:avLst/>
                    </a:prstGeom>
                    <a:noFill/>
                    <a:ln>
                      <a:noFill/>
                    </a:ln>
                  </pic:spPr>
                </pic:pic>
              </a:graphicData>
            </a:graphic>
          </wp:inline>
        </w:drawing>
      </w:r>
    </w:p>
    <w:p w:rsidR="003A7BCA" w:rsidRDefault="003A7BCA" w:rsidP="003A7BCA">
      <w:pPr>
        <w:spacing w:after="0" w:line="240" w:lineRule="auto"/>
        <w:contextualSpacing/>
        <w:jc w:val="center"/>
        <w:rPr>
          <w:rFonts w:ascii="Times New Roman" w:eastAsia="Times New Roman" w:hAnsi="Times New Roman" w:cs="Times New Roman"/>
          <w:snapToGrid w:val="0"/>
          <w:sz w:val="16"/>
          <w:szCs w:val="16"/>
        </w:rPr>
      </w:pPr>
    </w:p>
    <w:p w:rsidR="003A7BCA" w:rsidRPr="00C3703E" w:rsidRDefault="00591CAB" w:rsidP="003A7BCA">
      <w:pPr>
        <w:spacing w:after="0" w:line="240" w:lineRule="auto"/>
        <w:contextualSpacing/>
        <w:jc w:val="center"/>
        <w:rPr>
          <w:rFonts w:ascii="Times New Roman" w:eastAsia="Times New Roman" w:hAnsi="Times New Roman" w:cs="Times New Roman"/>
          <w:b/>
          <w:color w:val="00417E"/>
          <w:sz w:val="32"/>
          <w:szCs w:val="32"/>
          <w:lang w:val="en-US" w:eastAsia="ru-RU"/>
        </w:rPr>
      </w:pPr>
      <w:r w:rsidRPr="0049495D">
        <w:rPr>
          <w:rFonts w:ascii="Times New Roman" w:eastAsia="Times New Roman" w:hAnsi="Times New Roman" w:cs="Times New Roman"/>
          <w:b/>
          <w:color w:val="00417E"/>
          <w:sz w:val="32"/>
          <w:szCs w:val="32"/>
          <w:lang w:val="en" w:eastAsia="ru-RU"/>
        </w:rPr>
        <w:t>THE EURASIAN ECONOMIC COMMISSION</w:t>
      </w:r>
    </w:p>
    <w:p w:rsidR="003A7BCA" w:rsidRPr="00C3703E" w:rsidRDefault="00591CAB" w:rsidP="003A7BCA">
      <w:pPr>
        <w:spacing w:line="240" w:lineRule="auto"/>
        <w:jc w:val="center"/>
        <w:rPr>
          <w:rFonts w:ascii="Times New Roman" w:eastAsia="Times New Roman" w:hAnsi="Times New Roman" w:cs="Times New Roman"/>
          <w:b/>
          <w:snapToGrid w:val="0"/>
          <w:color w:val="00417E"/>
          <w:sz w:val="36"/>
          <w:szCs w:val="36"/>
          <w:lang w:val="en-US"/>
        </w:rPr>
      </w:pPr>
      <w:r w:rsidRPr="0049495D">
        <w:rPr>
          <w:rFonts w:ascii="Times New Roman" w:eastAsia="Times New Roman" w:hAnsi="Times New Roman" w:cs="Times New Roman"/>
          <w:b/>
          <w:snapToGrid w:val="0"/>
          <w:color w:val="00417E"/>
          <w:sz w:val="36"/>
          <w:szCs w:val="36"/>
          <w:lang w:val="en"/>
        </w:rPr>
        <w:t>THE COUNCIL</w:t>
      </w:r>
    </w:p>
    <w:p w:rsidR="003A7BCA" w:rsidRPr="00C3703E" w:rsidRDefault="00591CAB" w:rsidP="003A7BCA">
      <w:pPr>
        <w:spacing w:after="0" w:line="240" w:lineRule="auto"/>
        <w:ind w:firstLine="709"/>
        <w:jc w:val="both"/>
        <w:rPr>
          <w:rFonts w:ascii="Times New Roman" w:eastAsia="Times New Roman" w:hAnsi="Times New Roman" w:cs="Times New Roman"/>
          <w:sz w:val="30"/>
          <w:szCs w:val="30"/>
          <w:lang w:val="en-US" w:eastAsia="ru-RU"/>
        </w:rPr>
      </w:pPr>
      <w:r w:rsidRPr="00E82C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673" cy="0"/>
                        </a:xfrm>
                        <a:prstGeom prst="straightConnector1">
                          <a:avLst/>
                        </a:prstGeom>
                        <a:noFill/>
                        <a:ln w="28575">
                          <a:solidFill>
                            <a:srgbClr val="0041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Прямая со стрелкой 8"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190A8F" w:rsidRPr="00561B8F" w:rsidRDefault="00591CAB" w:rsidP="00190A8F">
      <w:pPr>
        <w:spacing w:after="0" w:line="240" w:lineRule="auto"/>
        <w:contextualSpacing/>
        <w:jc w:val="center"/>
        <w:rPr>
          <w:rFonts w:ascii="Times New Roman" w:eastAsia="Times New Roman" w:hAnsi="Times New Roman" w:cs="Times New Roman"/>
          <w:b/>
          <w:snapToGrid w:val="0"/>
          <w:spacing w:val="80"/>
          <w:sz w:val="30"/>
          <w:szCs w:val="30"/>
        </w:rPr>
      </w:pPr>
      <w:r w:rsidRPr="00561B8F">
        <w:rPr>
          <w:rFonts w:ascii="Times New Roman" w:eastAsia="Times New Roman" w:hAnsi="Times New Roman" w:cs="Times New Roman"/>
          <w:b/>
          <w:snapToGrid w:val="0"/>
          <w:spacing w:val="80"/>
          <w:sz w:val="30"/>
          <w:szCs w:val="30"/>
          <w:lang w:val="en"/>
        </w:rPr>
        <w:t>DECISION</w:t>
      </w:r>
    </w:p>
    <w:p w:rsidR="00190A8F" w:rsidRPr="00E82CEC" w:rsidRDefault="00190A8F" w:rsidP="00190A8F">
      <w:pPr>
        <w:spacing w:after="0" w:line="240" w:lineRule="auto"/>
        <w:ind w:firstLine="709"/>
        <w:jc w:val="both"/>
        <w:rPr>
          <w:rFonts w:ascii="Times New Roman" w:eastAsia="Times New Roman" w:hAnsi="Times New Roman" w:cs="Times New Roman"/>
          <w:sz w:val="30"/>
          <w:szCs w:val="30"/>
          <w:lang w:eastAsia="ru-RU"/>
        </w:rPr>
      </w:pPr>
    </w:p>
    <w:tbl>
      <w:tblPr>
        <w:tblW w:w="0" w:type="auto"/>
        <w:tblInd w:w="108" w:type="dxa"/>
        <w:tblLayout w:type="fixed"/>
        <w:tblLook w:val="04A0" w:firstRow="1" w:lastRow="0" w:firstColumn="1" w:lastColumn="0" w:noHBand="0" w:noVBand="1"/>
      </w:tblPr>
      <w:tblGrid>
        <w:gridCol w:w="3544"/>
        <w:gridCol w:w="2126"/>
        <w:gridCol w:w="3793"/>
      </w:tblGrid>
      <w:tr w:rsidR="008C26CC" w:rsidTr="00D30C19">
        <w:tc>
          <w:tcPr>
            <w:tcW w:w="3544" w:type="dxa"/>
            <w:shd w:val="clear" w:color="auto" w:fill="auto"/>
          </w:tcPr>
          <w:p w:rsidR="00190A8F" w:rsidRPr="00E82CEC" w:rsidRDefault="00591CAB" w:rsidP="00874FF1">
            <w:pPr>
              <w:tabs>
                <w:tab w:val="left" w:pos="7088"/>
              </w:tabs>
              <w:autoSpaceDE w:val="0"/>
              <w:autoSpaceDN w:val="0"/>
              <w:adjustRightInd w:val="0"/>
              <w:spacing w:after="0" w:line="240" w:lineRule="auto"/>
              <w:ind w:left="-113"/>
              <w:jc w:val="both"/>
              <w:rPr>
                <w:rFonts w:ascii="Times New Roman" w:eastAsia="Times New Roman" w:hAnsi="Times New Roman" w:cs="Times New Roman"/>
                <w:bCs/>
                <w:sz w:val="30"/>
                <w:szCs w:val="30"/>
                <w:lang w:eastAsia="ru-RU"/>
              </w:rPr>
            </w:pPr>
            <w:r w:rsidRPr="00E82CEC">
              <w:rPr>
                <w:rFonts w:ascii="Times New Roman" w:eastAsia="Times New Roman" w:hAnsi="Times New Roman" w:cs="Times New Roman"/>
                <w:bCs/>
                <w:sz w:val="30"/>
                <w:szCs w:val="30"/>
                <w:lang w:val="en" w:eastAsia="ru-RU"/>
              </w:rPr>
              <w:t>December 24, 2021</w:t>
            </w:r>
          </w:p>
        </w:tc>
        <w:tc>
          <w:tcPr>
            <w:tcW w:w="2126" w:type="dxa"/>
            <w:shd w:val="clear" w:color="auto" w:fill="auto"/>
          </w:tcPr>
          <w:p w:rsidR="00190A8F" w:rsidRPr="00E82CEC" w:rsidRDefault="00591CAB" w:rsidP="007948E4">
            <w:pPr>
              <w:tabs>
                <w:tab w:val="left" w:pos="7088"/>
              </w:tabs>
              <w:autoSpaceDE w:val="0"/>
              <w:autoSpaceDN w:val="0"/>
              <w:adjustRightInd w:val="0"/>
              <w:spacing w:after="0" w:line="240" w:lineRule="auto"/>
              <w:ind w:firstLine="497"/>
              <w:jc w:val="both"/>
              <w:rPr>
                <w:rFonts w:ascii="Times New Roman" w:eastAsia="Times New Roman" w:hAnsi="Times New Roman" w:cs="Times New Roman"/>
                <w:b/>
                <w:bCs/>
                <w:sz w:val="30"/>
                <w:szCs w:val="30"/>
                <w:lang w:eastAsia="ru-RU"/>
              </w:rPr>
            </w:pPr>
            <w:r w:rsidRPr="00E82CEC">
              <w:rPr>
                <w:rFonts w:ascii="Times New Roman" w:eastAsia="Times New Roman" w:hAnsi="Times New Roman" w:cs="Times New Roman"/>
                <w:b/>
                <w:bCs/>
                <w:sz w:val="30"/>
                <w:szCs w:val="30"/>
                <w:lang w:val="en" w:eastAsia="ru-RU"/>
              </w:rPr>
              <w:t>No. 146</w:t>
            </w:r>
          </w:p>
        </w:tc>
        <w:tc>
          <w:tcPr>
            <w:tcW w:w="3793" w:type="dxa"/>
            <w:shd w:val="clear" w:color="auto" w:fill="auto"/>
          </w:tcPr>
          <w:p w:rsidR="00190A8F" w:rsidRPr="00E82CEC" w:rsidRDefault="00591CAB" w:rsidP="007948E4">
            <w:pPr>
              <w:tabs>
                <w:tab w:val="left" w:pos="7088"/>
              </w:tabs>
              <w:autoSpaceDE w:val="0"/>
              <w:autoSpaceDN w:val="0"/>
              <w:adjustRightInd w:val="0"/>
              <w:spacing w:after="0" w:line="240" w:lineRule="auto"/>
              <w:ind w:right="-35" w:firstLine="912"/>
              <w:jc w:val="center"/>
              <w:rPr>
                <w:rFonts w:ascii="Times New Roman" w:eastAsia="Times New Roman" w:hAnsi="Times New Roman" w:cs="Times New Roman"/>
                <w:bCs/>
                <w:sz w:val="30"/>
                <w:szCs w:val="30"/>
                <w:lang w:eastAsia="ru-RU"/>
              </w:rPr>
            </w:pPr>
            <w:r w:rsidRPr="00E82CEC">
              <w:rPr>
                <w:rFonts w:ascii="Times New Roman" w:eastAsia="Times New Roman" w:hAnsi="Times New Roman" w:cs="Times New Roman"/>
                <w:bCs/>
                <w:sz w:val="30"/>
                <w:szCs w:val="30"/>
                <w:lang w:val="en" w:eastAsia="ru-RU"/>
              </w:rPr>
              <w:t>Nur-Sultan</w:t>
            </w:r>
          </w:p>
        </w:tc>
      </w:tr>
    </w:tbl>
    <w:p w:rsidR="00190A8F" w:rsidRPr="00E82CEC" w:rsidRDefault="00190A8F" w:rsidP="00190A8F">
      <w:pPr>
        <w:spacing w:after="0" w:line="240" w:lineRule="auto"/>
        <w:ind w:firstLine="709"/>
        <w:jc w:val="both"/>
        <w:rPr>
          <w:rFonts w:ascii="Times New Roman" w:eastAsia="Times New Roman" w:hAnsi="Times New Roman" w:cs="Times New Roman"/>
          <w:snapToGrid w:val="0"/>
          <w:sz w:val="30"/>
          <w:szCs w:val="30"/>
        </w:rPr>
      </w:pPr>
    </w:p>
    <w:p w:rsidR="00FF27FE" w:rsidRPr="00C3703E" w:rsidRDefault="00591CAB" w:rsidP="00FF27FE">
      <w:pPr>
        <w:autoSpaceDE w:val="0"/>
        <w:autoSpaceDN w:val="0"/>
        <w:adjustRightInd w:val="0"/>
        <w:spacing w:before="120" w:after="0" w:line="240" w:lineRule="auto"/>
        <w:jc w:val="center"/>
        <w:rPr>
          <w:rFonts w:ascii="Times New Roman" w:eastAsia="Times New Roman" w:hAnsi="Times New Roman" w:cs="Times New Roman"/>
          <w:b/>
          <w:snapToGrid w:val="0"/>
          <w:sz w:val="30"/>
          <w:szCs w:val="30"/>
          <w:lang w:val="en-US"/>
        </w:rPr>
      </w:pPr>
      <w:r>
        <w:rPr>
          <w:rFonts w:ascii="Times New Roman" w:eastAsia="Times New Roman" w:hAnsi="Times New Roman" w:cs="Times New Roman"/>
          <w:b/>
          <w:snapToGrid w:val="0"/>
          <w:sz w:val="30"/>
          <w:szCs w:val="30"/>
          <w:lang w:val="en"/>
        </w:rPr>
        <w:t>On Amending Decision No. 29 of the Eurasian Economic Commission's Council dated February 12, 2016</w:t>
      </w:r>
    </w:p>
    <w:p w:rsidR="00FF27FE" w:rsidRPr="00C3703E" w:rsidRDefault="00FF27FE" w:rsidP="00FF27FE">
      <w:pPr>
        <w:spacing w:after="0" w:line="360" w:lineRule="auto"/>
        <w:ind w:firstLine="709"/>
        <w:contextualSpacing/>
        <w:jc w:val="center"/>
        <w:rPr>
          <w:rFonts w:ascii="Times New Roman" w:eastAsia="Times New Roman" w:hAnsi="Times New Roman" w:cs="Times New Roman"/>
          <w:b/>
          <w:snapToGrid w:val="0"/>
          <w:sz w:val="30"/>
          <w:szCs w:val="30"/>
          <w:lang w:val="en-US"/>
        </w:rPr>
      </w:pPr>
    </w:p>
    <w:p w:rsidR="00FF27FE" w:rsidRPr="00C3703E" w:rsidRDefault="00591CAB" w:rsidP="00FF27FE">
      <w:pPr>
        <w:spacing w:after="0" w:line="360" w:lineRule="auto"/>
        <w:ind w:firstLine="709"/>
        <w:contextualSpacing/>
        <w:jc w:val="both"/>
        <w:rPr>
          <w:rFonts w:ascii="Times New Roman" w:eastAsia="Times New Roman" w:hAnsi="Times New Roman" w:cs="Times New Roman"/>
          <w:snapToGrid w:val="0"/>
          <w:sz w:val="30"/>
          <w:szCs w:val="30"/>
          <w:lang w:val="en-US"/>
        </w:rPr>
      </w:pPr>
      <w:r>
        <w:rPr>
          <w:rFonts w:ascii="Times New Roman" w:eastAsia="Times New Roman" w:hAnsi="Times New Roman" w:cs="Times New Roman"/>
          <w:snapToGrid w:val="0"/>
          <w:sz w:val="30"/>
          <w:szCs w:val="30"/>
          <w:lang w:val="en"/>
        </w:rPr>
        <w:t>In accordance with Paragraph 2, Article 31 of the Treaty on the Eurasian Economic Union dated May 29, 2014, Paragraph 4, Article 4 of the Agreement on Unified Principles and Rules for the Circulation of Medical Devices (Medical Accessories and Medical Equi</w:t>
      </w:r>
      <w:r>
        <w:rPr>
          <w:rFonts w:ascii="Times New Roman" w:eastAsia="Times New Roman" w:hAnsi="Times New Roman" w:cs="Times New Roman"/>
          <w:snapToGrid w:val="0"/>
          <w:sz w:val="30"/>
          <w:szCs w:val="30"/>
          <w:lang w:val="en"/>
        </w:rPr>
        <w:t>pment) within the Eurasian Economic Union dated December 23, 2014, Paragraph 105 of Annex 1 to the Rules of Procedure of the Eurasian Economic Commission approved by Decision No. 98 of the Supreme Eurasian Economic Council dated December 23, 2014, the Eura</w:t>
      </w:r>
      <w:r>
        <w:rPr>
          <w:rFonts w:ascii="Times New Roman" w:eastAsia="Times New Roman" w:hAnsi="Times New Roman" w:cs="Times New Roman"/>
          <w:snapToGrid w:val="0"/>
          <w:sz w:val="30"/>
          <w:szCs w:val="30"/>
          <w:lang w:val="en"/>
        </w:rPr>
        <w:t xml:space="preserve">sian Economic Commission's Council </w:t>
      </w:r>
      <w:r>
        <w:rPr>
          <w:rFonts w:ascii="Times New Roman Полужирный" w:eastAsia="Times New Roman" w:hAnsi="Times New Roman Полужирный" w:cs="Times New Roman"/>
          <w:b/>
          <w:snapToGrid w:val="0"/>
          <w:spacing w:val="30"/>
          <w:sz w:val="30"/>
          <w:szCs w:val="30"/>
          <w:lang w:val="en"/>
        </w:rPr>
        <w:t>decided</w:t>
      </w:r>
      <w:r>
        <w:rPr>
          <w:rFonts w:ascii="Times New Roman" w:eastAsia="Times New Roman" w:hAnsi="Times New Roman" w:cs="Times New Roman"/>
          <w:b/>
          <w:snapToGrid w:val="0"/>
          <w:sz w:val="30"/>
          <w:szCs w:val="30"/>
          <w:lang w:val="en"/>
        </w:rPr>
        <w:t>:</w:t>
      </w:r>
    </w:p>
    <w:p w:rsidR="00FF27FE" w:rsidRPr="00C3703E" w:rsidRDefault="00591CAB" w:rsidP="00FF27FE">
      <w:pPr>
        <w:pStyle w:val="a6"/>
        <w:numPr>
          <w:ilvl w:val="0"/>
          <w:numId w:val="2"/>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30"/>
          <w:szCs w:val="30"/>
          <w:lang w:val="en-US"/>
        </w:rPr>
      </w:pPr>
      <w:r>
        <w:rPr>
          <w:rFonts w:ascii="Times New Roman" w:eastAsia="Times New Roman" w:hAnsi="Times New Roman" w:cs="Times New Roman"/>
          <w:snapToGrid w:val="0"/>
          <w:sz w:val="30"/>
          <w:szCs w:val="30"/>
          <w:lang w:val="en"/>
        </w:rPr>
        <w:t xml:space="preserve"> In Subparagraphs а to c of Paragraph 2 of Decision No. 29 of the Eurasian Economic Commission's Council dated February 12, 2016 On the Rules for Conducting Clinical and Clinical Laboratory Tests (Studies) of Medical Devices and second indent of Subparagra</w:t>
      </w:r>
      <w:r>
        <w:rPr>
          <w:rFonts w:ascii="Times New Roman" w:eastAsia="Times New Roman" w:hAnsi="Times New Roman" w:cs="Times New Roman"/>
          <w:snapToGrid w:val="0"/>
          <w:sz w:val="30"/>
          <w:szCs w:val="30"/>
          <w:lang w:val="en"/>
        </w:rPr>
        <w:t>ph b of Paragraph 5 of the Rules approved by the above Decision, the word '2016' shall be replaced with the word '2022'.</w:t>
      </w:r>
    </w:p>
    <w:p w:rsidR="004029AC" w:rsidRPr="00C3703E" w:rsidRDefault="00591CAB" w:rsidP="00FF27FE">
      <w:pPr>
        <w:pStyle w:val="a6"/>
        <w:numPr>
          <w:ilvl w:val="0"/>
          <w:numId w:val="2"/>
        </w:numPr>
        <w:tabs>
          <w:tab w:val="left" w:pos="993"/>
        </w:tabs>
        <w:autoSpaceDE w:val="0"/>
        <w:autoSpaceDN w:val="0"/>
        <w:adjustRightInd w:val="0"/>
        <w:spacing w:after="0" w:line="360" w:lineRule="auto"/>
        <w:ind w:left="0" w:firstLine="709"/>
        <w:jc w:val="both"/>
        <w:outlineLvl w:val="0"/>
        <w:rPr>
          <w:rFonts w:ascii="Times New Roman" w:eastAsia="Times New Roman" w:hAnsi="Times New Roman" w:cs="Times New Roman"/>
          <w:snapToGrid w:val="0"/>
          <w:sz w:val="30"/>
          <w:szCs w:val="30"/>
          <w:lang w:val="en-US"/>
        </w:rPr>
      </w:pPr>
      <w:r w:rsidRPr="00C3703E">
        <w:rPr>
          <w:rFonts w:ascii="Times New Roman" w:eastAsia="Times New Roman" w:hAnsi="Times New Roman" w:cs="Times New Roman"/>
          <w:snapToGrid w:val="0"/>
          <w:sz w:val="30"/>
          <w:szCs w:val="30"/>
          <w:lang w:val="en"/>
        </w:rPr>
        <w:t xml:space="preserve"> This decision shall come into effect after 30 calendar days have elapsed from the date of its official publication.</w:t>
      </w:r>
      <w:bookmarkStart w:id="0" w:name="_GoBack"/>
      <w:bookmarkEnd w:id="0"/>
    </w:p>
    <w:sectPr w:rsidR="004029AC" w:rsidRPr="00C3703E" w:rsidSect="00FF27FE">
      <w:headerReference w:type="default" r:id="rId9"/>
      <w:pgSz w:w="11906" w:h="16838"/>
      <w:pgMar w:top="113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AB" w:rsidRDefault="00591CAB">
      <w:pPr>
        <w:spacing w:after="0" w:line="240" w:lineRule="auto"/>
      </w:pPr>
      <w:r>
        <w:separator/>
      </w:r>
    </w:p>
  </w:endnote>
  <w:endnote w:type="continuationSeparator" w:id="0">
    <w:p w:rsidR="00591CAB" w:rsidRDefault="0059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AB" w:rsidRDefault="00591CAB">
      <w:pPr>
        <w:spacing w:after="0" w:line="240" w:lineRule="auto"/>
      </w:pPr>
      <w:r>
        <w:separator/>
      </w:r>
    </w:p>
  </w:footnote>
  <w:footnote w:type="continuationSeparator" w:id="0">
    <w:p w:rsidR="00591CAB" w:rsidRDefault="0059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79564"/>
      <w:docPartObj>
        <w:docPartGallery w:val="Page Numbers (Top of Page)"/>
        <w:docPartUnique/>
      </w:docPartObj>
    </w:sdtPr>
    <w:sdtEndPr>
      <w:rPr>
        <w:rFonts w:ascii="Times New Roman" w:hAnsi="Times New Roman" w:cs="Times New Roman"/>
        <w:sz w:val="28"/>
        <w:szCs w:val="28"/>
      </w:rPr>
    </w:sdtEndPr>
    <w:sdtContent>
      <w:p w:rsidR="00FF27FE" w:rsidRPr="00FF27FE" w:rsidRDefault="00591CAB">
        <w:pPr>
          <w:pStyle w:val="a7"/>
          <w:jc w:val="center"/>
          <w:rPr>
            <w:rFonts w:ascii="Times New Roman" w:hAnsi="Times New Roman" w:cs="Times New Roman"/>
            <w:sz w:val="28"/>
            <w:szCs w:val="28"/>
          </w:rPr>
        </w:pPr>
        <w:r w:rsidRPr="00FF27FE">
          <w:rPr>
            <w:rFonts w:ascii="Times New Roman" w:hAnsi="Times New Roman" w:cs="Times New Roman"/>
            <w:sz w:val="28"/>
            <w:szCs w:val="28"/>
          </w:rPr>
          <w:fldChar w:fldCharType="begin"/>
        </w:r>
        <w:r w:rsidRPr="00FF27FE">
          <w:rPr>
            <w:rFonts w:ascii="Times New Roman" w:hAnsi="Times New Roman" w:cs="Times New Roman"/>
            <w:sz w:val="28"/>
            <w:szCs w:val="28"/>
          </w:rPr>
          <w:instrText>PAGE   \* MERGEFORMAT</w:instrText>
        </w:r>
        <w:r w:rsidRPr="00FF27FE">
          <w:rPr>
            <w:rFonts w:ascii="Times New Roman" w:hAnsi="Times New Roman" w:cs="Times New Roman"/>
            <w:sz w:val="28"/>
            <w:szCs w:val="28"/>
          </w:rPr>
          <w:fldChar w:fldCharType="separate"/>
        </w:r>
        <w:r w:rsidR="00C3703E">
          <w:rPr>
            <w:rFonts w:ascii="Times New Roman" w:hAnsi="Times New Roman" w:cs="Times New Roman"/>
            <w:noProof/>
            <w:sz w:val="28"/>
            <w:szCs w:val="28"/>
          </w:rPr>
          <w:t>2</w:t>
        </w:r>
        <w:r w:rsidRPr="00FF27FE">
          <w:rPr>
            <w:rFonts w:ascii="Times New Roman" w:hAnsi="Times New Roman" w:cs="Times New Roman"/>
            <w:sz w:val="28"/>
            <w:szCs w:val="28"/>
          </w:rPr>
          <w:fldChar w:fldCharType="end"/>
        </w:r>
      </w:p>
    </w:sdtContent>
  </w:sdt>
  <w:p w:rsidR="00FF27FE" w:rsidRDefault="00FF27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1D2B"/>
    <w:multiLevelType w:val="hybridMultilevel"/>
    <w:tmpl w:val="84E4B33A"/>
    <w:lvl w:ilvl="0" w:tplc="CD9C5E1E">
      <w:start w:val="1"/>
      <w:numFmt w:val="decimal"/>
      <w:lvlText w:val="%1."/>
      <w:lvlJc w:val="left"/>
      <w:pPr>
        <w:ind w:left="1429" w:hanging="360"/>
      </w:pPr>
    </w:lvl>
    <w:lvl w:ilvl="1" w:tplc="0F5A4E62">
      <w:start w:val="1"/>
      <w:numFmt w:val="lowerLetter"/>
      <w:lvlText w:val="%2."/>
      <w:lvlJc w:val="left"/>
      <w:pPr>
        <w:ind w:left="2149" w:hanging="360"/>
      </w:pPr>
    </w:lvl>
    <w:lvl w:ilvl="2" w:tplc="9FD40636">
      <w:start w:val="1"/>
      <w:numFmt w:val="lowerRoman"/>
      <w:lvlText w:val="%3."/>
      <w:lvlJc w:val="right"/>
      <w:pPr>
        <w:ind w:left="2869" w:hanging="180"/>
      </w:pPr>
    </w:lvl>
    <w:lvl w:ilvl="3" w:tplc="BF9C6AFC">
      <w:start w:val="1"/>
      <w:numFmt w:val="decimal"/>
      <w:lvlText w:val="%4."/>
      <w:lvlJc w:val="left"/>
      <w:pPr>
        <w:ind w:left="3589" w:hanging="360"/>
      </w:pPr>
    </w:lvl>
    <w:lvl w:ilvl="4" w:tplc="D528DBE6">
      <w:start w:val="1"/>
      <w:numFmt w:val="lowerLetter"/>
      <w:lvlText w:val="%5."/>
      <w:lvlJc w:val="left"/>
      <w:pPr>
        <w:ind w:left="4309" w:hanging="360"/>
      </w:pPr>
    </w:lvl>
    <w:lvl w:ilvl="5" w:tplc="BD70239A">
      <w:start w:val="1"/>
      <w:numFmt w:val="lowerRoman"/>
      <w:lvlText w:val="%6."/>
      <w:lvlJc w:val="right"/>
      <w:pPr>
        <w:ind w:left="5029" w:hanging="180"/>
      </w:pPr>
    </w:lvl>
    <w:lvl w:ilvl="6" w:tplc="32A2EDCC">
      <w:start w:val="1"/>
      <w:numFmt w:val="decimal"/>
      <w:lvlText w:val="%7."/>
      <w:lvlJc w:val="left"/>
      <w:pPr>
        <w:ind w:left="5749" w:hanging="360"/>
      </w:pPr>
    </w:lvl>
    <w:lvl w:ilvl="7" w:tplc="679A02D8">
      <w:start w:val="1"/>
      <w:numFmt w:val="lowerLetter"/>
      <w:lvlText w:val="%8."/>
      <w:lvlJc w:val="left"/>
      <w:pPr>
        <w:ind w:left="6469" w:hanging="360"/>
      </w:pPr>
    </w:lvl>
    <w:lvl w:ilvl="8" w:tplc="81AE9984">
      <w:start w:val="1"/>
      <w:numFmt w:val="lowerRoman"/>
      <w:lvlText w:val="%9."/>
      <w:lvlJc w:val="right"/>
      <w:pPr>
        <w:ind w:left="7189" w:hanging="180"/>
      </w:pPr>
    </w:lvl>
  </w:abstractNum>
  <w:abstractNum w:abstractNumId="1">
    <w:nsid w:val="1C7C7DC1"/>
    <w:multiLevelType w:val="multilevel"/>
    <w:tmpl w:val="4544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93"/>
    <w:rsid w:val="00007DFC"/>
    <w:rsid w:val="000344FA"/>
    <w:rsid w:val="000B1B28"/>
    <w:rsid w:val="001642CA"/>
    <w:rsid w:val="00190A8F"/>
    <w:rsid w:val="001A0333"/>
    <w:rsid w:val="001D279F"/>
    <w:rsid w:val="001D5835"/>
    <w:rsid w:val="00245E27"/>
    <w:rsid w:val="00254534"/>
    <w:rsid w:val="002A79A7"/>
    <w:rsid w:val="00313C5A"/>
    <w:rsid w:val="003A02E0"/>
    <w:rsid w:val="003A7BCA"/>
    <w:rsid w:val="004029AC"/>
    <w:rsid w:val="00402C42"/>
    <w:rsid w:val="0049495D"/>
    <w:rsid w:val="004F3203"/>
    <w:rsid w:val="004F47FA"/>
    <w:rsid w:val="005167A5"/>
    <w:rsid w:val="00561B8F"/>
    <w:rsid w:val="00591CAB"/>
    <w:rsid w:val="006535A4"/>
    <w:rsid w:val="00664243"/>
    <w:rsid w:val="006B2DAD"/>
    <w:rsid w:val="006C5192"/>
    <w:rsid w:val="006E6A61"/>
    <w:rsid w:val="00700EBD"/>
    <w:rsid w:val="007948E4"/>
    <w:rsid w:val="007D01EB"/>
    <w:rsid w:val="00816DF0"/>
    <w:rsid w:val="00874FF1"/>
    <w:rsid w:val="00887F5E"/>
    <w:rsid w:val="008C26CC"/>
    <w:rsid w:val="008E1E2E"/>
    <w:rsid w:val="00906207"/>
    <w:rsid w:val="00926EBA"/>
    <w:rsid w:val="009865E2"/>
    <w:rsid w:val="009F5B7D"/>
    <w:rsid w:val="00A36CE3"/>
    <w:rsid w:val="00A5101F"/>
    <w:rsid w:val="00A74B21"/>
    <w:rsid w:val="00AA58AB"/>
    <w:rsid w:val="00AC5200"/>
    <w:rsid w:val="00AE749C"/>
    <w:rsid w:val="00B00ED0"/>
    <w:rsid w:val="00BE1ADB"/>
    <w:rsid w:val="00C30136"/>
    <w:rsid w:val="00C3703E"/>
    <w:rsid w:val="00C67E60"/>
    <w:rsid w:val="00CF4EB1"/>
    <w:rsid w:val="00D0171F"/>
    <w:rsid w:val="00D35981"/>
    <w:rsid w:val="00DA2C20"/>
    <w:rsid w:val="00E4361A"/>
    <w:rsid w:val="00E82CEC"/>
    <w:rsid w:val="00EA4C28"/>
    <w:rsid w:val="00EA5DAD"/>
    <w:rsid w:val="00EF5D5F"/>
    <w:rsid w:val="00F0782D"/>
    <w:rsid w:val="00F254E6"/>
    <w:rsid w:val="00F54793"/>
    <w:rsid w:val="00F7440C"/>
    <w:rsid w:val="00FF2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CA"/>
    <w:rPr>
      <w:rFonts w:ascii="Tahoma" w:hAnsi="Tahoma" w:cs="Tahoma"/>
      <w:sz w:val="16"/>
      <w:szCs w:val="16"/>
    </w:rPr>
  </w:style>
  <w:style w:type="character" w:styleId="a5">
    <w:name w:val="Placeholder Text"/>
    <w:basedOn w:val="a0"/>
    <w:uiPriority w:val="99"/>
    <w:semiHidden/>
    <w:rsid w:val="00DA2C20"/>
    <w:rPr>
      <w:color w:val="808080"/>
    </w:rPr>
  </w:style>
  <w:style w:type="character" w:customStyle="1" w:styleId="CharStyle37">
    <w:name w:val="Char Style 37"/>
    <w:basedOn w:val="a0"/>
    <w:link w:val="Style36"/>
    <w:rsid w:val="006E6A61"/>
    <w:rPr>
      <w:sz w:val="28"/>
      <w:szCs w:val="28"/>
      <w:shd w:val="clear" w:color="auto" w:fill="FFFFFF"/>
    </w:rPr>
  </w:style>
  <w:style w:type="character" w:customStyle="1" w:styleId="CharStyle43">
    <w:name w:val="Char Style 43"/>
    <w:basedOn w:val="a0"/>
    <w:link w:val="Style23"/>
    <w:rsid w:val="006E6A61"/>
    <w:rPr>
      <w:sz w:val="27"/>
      <w:szCs w:val="27"/>
      <w:shd w:val="clear" w:color="auto" w:fill="FFFFFF"/>
    </w:rPr>
  </w:style>
  <w:style w:type="character" w:customStyle="1" w:styleId="CharStyle44">
    <w:name w:val="Char Style 44"/>
    <w:basedOn w:val="CharStyle43"/>
    <w:rsid w:val="006E6A61"/>
    <w:rPr>
      <w:rFonts w:ascii="Times New Roman" w:eastAsia="Times New Roman" w:hAnsi="Times New Roman" w:cs="Times New Roman"/>
      <w:color w:val="000000"/>
      <w:spacing w:val="40"/>
      <w:w w:val="100"/>
      <w:position w:val="0"/>
      <w:sz w:val="27"/>
      <w:szCs w:val="27"/>
      <w:shd w:val="clear" w:color="auto" w:fill="FFFFFF"/>
      <w:lang w:val="ru"/>
    </w:rPr>
  </w:style>
  <w:style w:type="paragraph" w:customStyle="1" w:styleId="Style23">
    <w:name w:val="Style 23"/>
    <w:basedOn w:val="a"/>
    <w:link w:val="CharStyle43"/>
    <w:rsid w:val="006E6A61"/>
    <w:pPr>
      <w:widowControl w:val="0"/>
      <w:shd w:val="clear" w:color="auto" w:fill="FFFFFF"/>
      <w:spacing w:after="0" w:line="0" w:lineRule="atLeast"/>
      <w:jc w:val="both"/>
    </w:pPr>
    <w:rPr>
      <w:sz w:val="27"/>
      <w:szCs w:val="27"/>
    </w:rPr>
  </w:style>
  <w:style w:type="paragraph" w:customStyle="1" w:styleId="Style36">
    <w:name w:val="Style 36"/>
    <w:basedOn w:val="a"/>
    <w:link w:val="CharStyle37"/>
    <w:rsid w:val="006E6A61"/>
    <w:pPr>
      <w:widowControl w:val="0"/>
      <w:shd w:val="clear" w:color="auto" w:fill="FFFFFF"/>
      <w:spacing w:after="120" w:line="0" w:lineRule="atLeast"/>
      <w:jc w:val="center"/>
    </w:pPr>
    <w:rPr>
      <w:sz w:val="28"/>
      <w:szCs w:val="28"/>
    </w:rPr>
  </w:style>
  <w:style w:type="paragraph" w:styleId="a6">
    <w:name w:val="List Paragraph"/>
    <w:basedOn w:val="a"/>
    <w:uiPriority w:val="34"/>
    <w:qFormat/>
    <w:rsid w:val="00FF27FE"/>
    <w:pPr>
      <w:ind w:left="720"/>
      <w:contextualSpacing/>
    </w:pPr>
  </w:style>
  <w:style w:type="paragraph" w:styleId="a7">
    <w:name w:val="header"/>
    <w:basedOn w:val="a"/>
    <w:link w:val="a8"/>
    <w:uiPriority w:val="99"/>
    <w:unhideWhenUsed/>
    <w:rsid w:val="00FF27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27FE"/>
  </w:style>
  <w:style w:type="paragraph" w:styleId="a9">
    <w:name w:val="footer"/>
    <w:basedOn w:val="a"/>
    <w:link w:val="aa"/>
    <w:uiPriority w:val="99"/>
    <w:unhideWhenUsed/>
    <w:rsid w:val="00FF27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2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CA"/>
    <w:rPr>
      <w:rFonts w:ascii="Tahoma" w:hAnsi="Tahoma" w:cs="Tahoma"/>
      <w:sz w:val="16"/>
      <w:szCs w:val="16"/>
    </w:rPr>
  </w:style>
  <w:style w:type="character" w:styleId="a5">
    <w:name w:val="Placeholder Text"/>
    <w:basedOn w:val="a0"/>
    <w:uiPriority w:val="99"/>
    <w:semiHidden/>
    <w:rsid w:val="00DA2C20"/>
    <w:rPr>
      <w:color w:val="808080"/>
    </w:rPr>
  </w:style>
  <w:style w:type="character" w:customStyle="1" w:styleId="CharStyle37">
    <w:name w:val="Char Style 37"/>
    <w:basedOn w:val="a0"/>
    <w:link w:val="Style36"/>
    <w:rsid w:val="006E6A61"/>
    <w:rPr>
      <w:sz w:val="28"/>
      <w:szCs w:val="28"/>
      <w:shd w:val="clear" w:color="auto" w:fill="FFFFFF"/>
    </w:rPr>
  </w:style>
  <w:style w:type="character" w:customStyle="1" w:styleId="CharStyle43">
    <w:name w:val="Char Style 43"/>
    <w:basedOn w:val="a0"/>
    <w:link w:val="Style23"/>
    <w:rsid w:val="006E6A61"/>
    <w:rPr>
      <w:sz w:val="27"/>
      <w:szCs w:val="27"/>
      <w:shd w:val="clear" w:color="auto" w:fill="FFFFFF"/>
    </w:rPr>
  </w:style>
  <w:style w:type="character" w:customStyle="1" w:styleId="CharStyle44">
    <w:name w:val="Char Style 44"/>
    <w:basedOn w:val="CharStyle43"/>
    <w:rsid w:val="006E6A61"/>
    <w:rPr>
      <w:rFonts w:ascii="Times New Roman" w:eastAsia="Times New Roman" w:hAnsi="Times New Roman" w:cs="Times New Roman"/>
      <w:color w:val="000000"/>
      <w:spacing w:val="40"/>
      <w:w w:val="100"/>
      <w:position w:val="0"/>
      <w:sz w:val="27"/>
      <w:szCs w:val="27"/>
      <w:shd w:val="clear" w:color="auto" w:fill="FFFFFF"/>
      <w:lang w:val="ru"/>
    </w:rPr>
  </w:style>
  <w:style w:type="paragraph" w:customStyle="1" w:styleId="Style23">
    <w:name w:val="Style 23"/>
    <w:basedOn w:val="a"/>
    <w:link w:val="CharStyle43"/>
    <w:rsid w:val="006E6A61"/>
    <w:pPr>
      <w:widowControl w:val="0"/>
      <w:shd w:val="clear" w:color="auto" w:fill="FFFFFF"/>
      <w:spacing w:after="0" w:line="0" w:lineRule="atLeast"/>
      <w:jc w:val="both"/>
    </w:pPr>
    <w:rPr>
      <w:sz w:val="27"/>
      <w:szCs w:val="27"/>
    </w:rPr>
  </w:style>
  <w:style w:type="paragraph" w:customStyle="1" w:styleId="Style36">
    <w:name w:val="Style 36"/>
    <w:basedOn w:val="a"/>
    <w:link w:val="CharStyle37"/>
    <w:rsid w:val="006E6A61"/>
    <w:pPr>
      <w:widowControl w:val="0"/>
      <w:shd w:val="clear" w:color="auto" w:fill="FFFFFF"/>
      <w:spacing w:after="120" w:line="0" w:lineRule="atLeast"/>
      <w:jc w:val="center"/>
    </w:pPr>
    <w:rPr>
      <w:sz w:val="28"/>
      <w:szCs w:val="28"/>
    </w:rPr>
  </w:style>
  <w:style w:type="paragraph" w:styleId="a6">
    <w:name w:val="List Paragraph"/>
    <w:basedOn w:val="a"/>
    <w:uiPriority w:val="34"/>
    <w:qFormat/>
    <w:rsid w:val="00FF27FE"/>
    <w:pPr>
      <w:ind w:left="720"/>
      <w:contextualSpacing/>
    </w:pPr>
  </w:style>
  <w:style w:type="paragraph" w:styleId="a7">
    <w:name w:val="header"/>
    <w:basedOn w:val="a"/>
    <w:link w:val="a8"/>
    <w:uiPriority w:val="99"/>
    <w:unhideWhenUsed/>
    <w:rsid w:val="00FF27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27FE"/>
  </w:style>
  <w:style w:type="paragraph" w:styleId="a9">
    <w:name w:val="footer"/>
    <w:basedOn w:val="a"/>
    <w:link w:val="aa"/>
    <w:uiPriority w:val="99"/>
    <w:unhideWhenUsed/>
    <w:rsid w:val="00FF27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Орманова Гульмира Абуталиповна</cp:lastModifiedBy>
  <cp:revision>6</cp:revision>
  <cp:lastPrinted>2022-01-19T10:47:00Z</cp:lastPrinted>
  <dcterms:created xsi:type="dcterms:W3CDTF">2023-08-22T08:04:00Z</dcterms:created>
  <dcterms:modified xsi:type="dcterms:W3CDTF">2023-09-05T08:31:00Z</dcterms:modified>
</cp:coreProperties>
</file>