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FC" w:rsidRPr="005A4B2A" w:rsidRDefault="006549FC" w:rsidP="006549FC">
      <w:pPr>
        <w:jc w:val="center"/>
        <w:rPr>
          <w:i/>
          <w:sz w:val="22"/>
          <w:szCs w:val="22"/>
          <w:lang w:val="en-US"/>
        </w:rPr>
      </w:pPr>
      <w:bookmarkStart w:id="0" w:name="_GoBack"/>
      <w:bookmarkEnd w:id="0"/>
      <w:r w:rsidRPr="005A4B2A">
        <w:rPr>
          <w:i/>
          <w:sz w:val="22"/>
          <w:szCs w:val="22"/>
          <w:lang w:val="en-US"/>
        </w:rPr>
        <w:t>/Logotype/</w:t>
      </w:r>
    </w:p>
    <w:p w:rsidR="006549FC" w:rsidRPr="005A4B2A" w:rsidRDefault="001F79D5" w:rsidP="006549FC">
      <w:pPr>
        <w:jc w:val="center"/>
        <w:rPr>
          <w:b/>
          <w:sz w:val="22"/>
          <w:szCs w:val="22"/>
          <w:lang w:val="en-US"/>
        </w:rPr>
      </w:pPr>
      <w:r>
        <w:rPr>
          <w:b/>
          <w:sz w:val="22"/>
          <w:szCs w:val="22"/>
          <w:lang w:val="en-US"/>
        </w:rPr>
        <w:t>EURASIAN ECONOMIC COMMISSION</w:t>
      </w:r>
    </w:p>
    <w:p w:rsidR="006549FC" w:rsidRPr="005A4B2A" w:rsidRDefault="001F79D5" w:rsidP="006549FC">
      <w:pPr>
        <w:pBdr>
          <w:bottom w:val="single" w:sz="18" w:space="1" w:color="auto"/>
        </w:pBdr>
        <w:jc w:val="center"/>
        <w:rPr>
          <w:b/>
          <w:sz w:val="22"/>
          <w:szCs w:val="22"/>
          <w:lang w:val="en-US"/>
        </w:rPr>
      </w:pPr>
      <w:r>
        <w:rPr>
          <w:b/>
          <w:sz w:val="22"/>
          <w:szCs w:val="22"/>
          <w:lang w:val="en-US"/>
        </w:rPr>
        <w:t>COUNCIL</w:t>
      </w:r>
    </w:p>
    <w:p w:rsidR="006549FC" w:rsidRPr="005A4B2A" w:rsidRDefault="006549FC" w:rsidP="006549FC">
      <w:pPr>
        <w:pBdr>
          <w:bottom w:val="single" w:sz="18" w:space="1" w:color="auto"/>
        </w:pBdr>
        <w:jc w:val="center"/>
        <w:rPr>
          <w:b/>
          <w:sz w:val="22"/>
          <w:szCs w:val="22"/>
          <w:lang w:val="en-US"/>
        </w:rPr>
      </w:pPr>
    </w:p>
    <w:p w:rsidR="006549FC" w:rsidRPr="005A4B2A" w:rsidRDefault="006549FC" w:rsidP="006549FC">
      <w:pPr>
        <w:jc w:val="center"/>
        <w:rPr>
          <w:b/>
          <w:sz w:val="22"/>
          <w:szCs w:val="22"/>
          <w:lang w:val="en-US"/>
        </w:rPr>
      </w:pPr>
    </w:p>
    <w:p w:rsidR="006549FC" w:rsidRPr="005A4B2A" w:rsidRDefault="001F79D5" w:rsidP="006549FC">
      <w:pPr>
        <w:jc w:val="center"/>
        <w:rPr>
          <w:b/>
          <w:sz w:val="22"/>
          <w:szCs w:val="22"/>
          <w:lang w:val="en-US"/>
        </w:rPr>
      </w:pPr>
      <w:r>
        <w:rPr>
          <w:b/>
          <w:sz w:val="22"/>
          <w:szCs w:val="22"/>
          <w:lang w:val="en-US"/>
        </w:rPr>
        <w:t>DECISION</w:t>
      </w:r>
    </w:p>
    <w:p w:rsidR="006549FC" w:rsidRPr="005A4B2A" w:rsidRDefault="006549FC" w:rsidP="006549FC">
      <w:pPr>
        <w:jc w:val="center"/>
        <w:rPr>
          <w:b/>
          <w:sz w:val="22"/>
          <w:szCs w:val="22"/>
          <w:lang w:val="en-US"/>
        </w:rPr>
      </w:pPr>
    </w:p>
    <w:p w:rsidR="002912C0" w:rsidRPr="005A4B2A" w:rsidRDefault="001F79D5" w:rsidP="002912C0">
      <w:pPr>
        <w:tabs>
          <w:tab w:val="left" w:pos="4395"/>
        </w:tabs>
        <w:rPr>
          <w:sz w:val="22"/>
          <w:szCs w:val="22"/>
          <w:lang w:val="en-US"/>
        </w:rPr>
      </w:pPr>
      <w:r>
        <w:rPr>
          <w:sz w:val="22"/>
          <w:szCs w:val="22"/>
          <w:lang w:val="en-US"/>
        </w:rPr>
        <w:t>February 12, 2016</w:t>
      </w:r>
      <w:r>
        <w:rPr>
          <w:sz w:val="22"/>
          <w:szCs w:val="22"/>
          <w:lang w:val="en-US"/>
        </w:rPr>
        <w:tab/>
      </w:r>
      <w:r>
        <w:rPr>
          <w:b/>
          <w:sz w:val="22"/>
          <w:szCs w:val="22"/>
          <w:lang w:val="en-US"/>
        </w:rPr>
        <w:t>No. 26</w:t>
      </w:r>
      <w:r>
        <w:rPr>
          <w:sz w:val="22"/>
          <w:szCs w:val="22"/>
          <w:lang w:val="en-US"/>
        </w:rPr>
        <w:tab/>
      </w:r>
      <w:r>
        <w:rPr>
          <w:sz w:val="22"/>
          <w:szCs w:val="22"/>
          <w:lang w:val="en-US"/>
        </w:rPr>
        <w:tab/>
      </w:r>
      <w:r>
        <w:rPr>
          <w:sz w:val="22"/>
          <w:szCs w:val="22"/>
          <w:lang w:val="en-US"/>
        </w:rPr>
        <w:tab/>
      </w:r>
      <w:r>
        <w:rPr>
          <w:sz w:val="22"/>
          <w:szCs w:val="22"/>
          <w:lang w:val="en-US"/>
        </w:rPr>
        <w:tab/>
        <w:t>city of Moscow</w:t>
      </w:r>
    </w:p>
    <w:p w:rsidR="002912C0" w:rsidRPr="005A4B2A" w:rsidRDefault="002912C0" w:rsidP="002912C0">
      <w:pPr>
        <w:tabs>
          <w:tab w:val="left" w:pos="4678"/>
        </w:tabs>
        <w:rPr>
          <w:sz w:val="22"/>
          <w:szCs w:val="22"/>
          <w:lang w:val="en-US"/>
        </w:rPr>
      </w:pPr>
    </w:p>
    <w:p w:rsidR="002912C0" w:rsidRPr="005A4B2A" w:rsidRDefault="001F79D5" w:rsidP="002912C0">
      <w:pPr>
        <w:tabs>
          <w:tab w:val="left" w:pos="4678"/>
        </w:tabs>
        <w:jc w:val="center"/>
        <w:rPr>
          <w:b/>
          <w:sz w:val="22"/>
          <w:szCs w:val="22"/>
          <w:lang w:val="en-US"/>
        </w:rPr>
      </w:pPr>
      <w:r>
        <w:rPr>
          <w:b/>
          <w:sz w:val="22"/>
          <w:szCs w:val="22"/>
          <w:lang w:val="en-US"/>
        </w:rPr>
        <w:t>On Special Trademark of Circulation of Medical Products</w:t>
      </w:r>
    </w:p>
    <w:p w:rsidR="005A6307" w:rsidRPr="005A4B2A" w:rsidRDefault="001F79D5" w:rsidP="002912C0">
      <w:pPr>
        <w:tabs>
          <w:tab w:val="left" w:pos="4678"/>
        </w:tabs>
        <w:jc w:val="center"/>
        <w:rPr>
          <w:sz w:val="22"/>
          <w:szCs w:val="22"/>
          <w:lang w:val="en-US"/>
        </w:rPr>
      </w:pPr>
      <w:r>
        <w:rPr>
          <w:b/>
          <w:sz w:val="22"/>
          <w:szCs w:val="22"/>
          <w:lang w:val="en-US"/>
        </w:rPr>
        <w:t>in the Market of the Eurasian Economic Union</w:t>
      </w:r>
    </w:p>
    <w:p w:rsidR="002912C0" w:rsidRPr="005A4B2A" w:rsidRDefault="002912C0" w:rsidP="002912C0">
      <w:pPr>
        <w:tabs>
          <w:tab w:val="left" w:pos="4678"/>
        </w:tabs>
        <w:rPr>
          <w:sz w:val="22"/>
          <w:szCs w:val="22"/>
          <w:lang w:val="en-US"/>
        </w:rPr>
      </w:pPr>
    </w:p>
    <w:p w:rsidR="002912C0" w:rsidRPr="005A4B2A" w:rsidRDefault="001F79D5" w:rsidP="002912C0">
      <w:pPr>
        <w:tabs>
          <w:tab w:val="left" w:pos="4678"/>
        </w:tabs>
        <w:ind w:firstLine="284"/>
        <w:rPr>
          <w:sz w:val="22"/>
          <w:szCs w:val="22"/>
          <w:lang w:val="en-US"/>
        </w:rPr>
      </w:pPr>
      <w:r>
        <w:rPr>
          <w:sz w:val="22"/>
          <w:szCs w:val="22"/>
          <w:lang w:val="en-US"/>
        </w:rPr>
        <w:t xml:space="preserve">In accordance with paragraph 2 of Article 31 of the Treaty on the Eurasian Economic Union dated May 29, 2014, paragraph 4 of Article 7 of the Agreement on Common Principles and Rules for Circulation of Medical Products (Medical Devices and Medical Equipment) within the Eurasian Economic Union dated December 23, 2014, paragraph 94 of Annex No. 1 to the Rules of Procedure of the Eurasian Economic Commission approved by Decision No. 98 of the Supreme Eurasian Economic Council dated December 23, 2014, and Decision No. 109 of the Supreme Eurasian Economic Council dated December 23, 2014 “On Implementation of the Agreement on Common Principles and Rules for Circulation of Medical Products (Medical Devices and Medical Equipment) within the Eurasian Economic Union”, the Council of the Eurasian Economic Commission </w:t>
      </w:r>
      <w:r>
        <w:rPr>
          <w:b/>
          <w:sz w:val="22"/>
          <w:szCs w:val="22"/>
          <w:lang w:val="en-US"/>
        </w:rPr>
        <w:t>decided:</w:t>
      </w:r>
    </w:p>
    <w:p w:rsidR="0099192E" w:rsidRPr="005A4B2A" w:rsidRDefault="001F79D5" w:rsidP="0099192E">
      <w:pPr>
        <w:ind w:firstLine="284"/>
        <w:rPr>
          <w:lang w:val="en-US"/>
        </w:rPr>
      </w:pPr>
      <w:r w:rsidRPr="001F79D5">
        <w:rPr>
          <w:lang w:val="en-US"/>
        </w:rPr>
        <w:t>1.</w:t>
      </w:r>
      <w:r>
        <w:rPr>
          <w:lang w:val="en-US"/>
        </w:rPr>
        <w:t xml:space="preserve"> To</w:t>
      </w:r>
      <w:r w:rsidRPr="001F79D5">
        <w:rPr>
          <w:lang w:val="en-US"/>
        </w:rPr>
        <w:t xml:space="preserve"> </w:t>
      </w:r>
      <w:r>
        <w:rPr>
          <w:lang w:val="en-US"/>
        </w:rPr>
        <w:t>approve</w:t>
      </w:r>
      <w:r w:rsidRPr="001F79D5">
        <w:rPr>
          <w:lang w:val="en-US"/>
        </w:rPr>
        <w:t xml:space="preserve"> </w:t>
      </w:r>
      <w:r>
        <w:rPr>
          <w:lang w:val="en-US"/>
        </w:rPr>
        <w:t>the</w:t>
      </w:r>
      <w:r w:rsidRPr="001F79D5">
        <w:rPr>
          <w:lang w:val="en-US"/>
        </w:rPr>
        <w:t xml:space="preserve"> </w:t>
      </w:r>
      <w:r>
        <w:rPr>
          <w:lang w:val="en-US"/>
        </w:rPr>
        <w:t>attached</w:t>
      </w:r>
      <w:r w:rsidRPr="001F79D5">
        <w:rPr>
          <w:lang w:val="en-US"/>
        </w:rPr>
        <w:t>:</w:t>
      </w:r>
    </w:p>
    <w:p w:rsidR="00FE385A" w:rsidRPr="005A4B2A" w:rsidRDefault="001F79D5" w:rsidP="0099192E">
      <w:pPr>
        <w:ind w:firstLine="284"/>
        <w:rPr>
          <w:lang w:val="en-US"/>
        </w:rPr>
      </w:pPr>
      <w:r>
        <w:rPr>
          <w:lang w:val="en-US"/>
        </w:rPr>
        <w:t>image of a special trademark of circulation of medical products in the market of the Eurasian Economic Union;</w:t>
      </w:r>
    </w:p>
    <w:p w:rsidR="0099192E" w:rsidRPr="005A4B2A" w:rsidRDefault="001F79D5" w:rsidP="0099192E">
      <w:pPr>
        <w:ind w:firstLine="284"/>
        <w:rPr>
          <w:lang w:val="en-US"/>
        </w:rPr>
      </w:pPr>
      <w:r>
        <w:rPr>
          <w:lang w:val="en-US"/>
        </w:rPr>
        <w:t>Regulation on a special trademark of circulation of medical products in the market of the Eurasian Economic Union.</w:t>
      </w:r>
    </w:p>
    <w:p w:rsidR="0099192E" w:rsidRPr="005A4B2A" w:rsidRDefault="001F79D5" w:rsidP="0099192E">
      <w:pPr>
        <w:tabs>
          <w:tab w:val="left" w:pos="567"/>
          <w:tab w:val="left" w:pos="4678"/>
        </w:tabs>
        <w:ind w:firstLine="284"/>
        <w:rPr>
          <w:lang w:val="en-US"/>
        </w:rPr>
      </w:pPr>
      <w:r>
        <w:rPr>
          <w:lang w:val="en-US"/>
        </w:rPr>
        <w:t>2. This Decision shall enter into force after 10 calendar days have elapsed 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have elapsed from the date of the official publication of this Decision.</w:t>
      </w:r>
    </w:p>
    <w:p w:rsidR="0099192E" w:rsidRPr="005A4B2A" w:rsidRDefault="0099192E" w:rsidP="0099192E">
      <w:pPr>
        <w:ind w:firstLine="284"/>
        <w:rPr>
          <w:lang w:val="en-US"/>
        </w:rPr>
      </w:pPr>
    </w:p>
    <w:p w:rsidR="0099192E" w:rsidRPr="005A4B2A" w:rsidRDefault="001F79D5" w:rsidP="0099192E">
      <w:pPr>
        <w:tabs>
          <w:tab w:val="left" w:pos="567"/>
          <w:tab w:val="left" w:pos="4678"/>
        </w:tabs>
        <w:jc w:val="center"/>
        <w:rPr>
          <w:b/>
          <w:lang w:val="en-US"/>
        </w:rPr>
      </w:pPr>
      <w:r>
        <w:rPr>
          <w:b/>
          <w:lang w:val="en-US"/>
        </w:rPr>
        <w:t>Members of the Council of the Eurasian Economic Commission:</w:t>
      </w:r>
    </w:p>
    <w:p w:rsidR="006549FC" w:rsidRPr="005A4B2A" w:rsidRDefault="006549FC" w:rsidP="0099192E">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6549FC" w:rsidRPr="005A4B2A" w:rsidTr="006549FC">
        <w:tc>
          <w:tcPr>
            <w:tcW w:w="1914" w:type="dxa"/>
          </w:tcPr>
          <w:p w:rsidR="006549FC" w:rsidRPr="005A4B2A" w:rsidRDefault="001F79D5" w:rsidP="00286C7E">
            <w:pPr>
              <w:tabs>
                <w:tab w:val="left" w:pos="567"/>
                <w:tab w:val="left" w:pos="4678"/>
              </w:tabs>
              <w:jc w:val="center"/>
              <w:rPr>
                <w:b/>
                <w:sz w:val="20"/>
                <w:szCs w:val="20"/>
                <w:lang w:val="en-US"/>
              </w:rPr>
            </w:pPr>
            <w:r>
              <w:rPr>
                <w:b/>
                <w:sz w:val="20"/>
                <w:szCs w:val="20"/>
                <w:lang w:val="en-US"/>
              </w:rPr>
              <w:t>For the Republic of Armenia</w:t>
            </w:r>
          </w:p>
          <w:p w:rsidR="006549FC" w:rsidRPr="005A4B2A" w:rsidRDefault="006549FC" w:rsidP="00286C7E">
            <w:pPr>
              <w:tabs>
                <w:tab w:val="left" w:pos="567"/>
                <w:tab w:val="left" w:pos="4678"/>
              </w:tabs>
              <w:jc w:val="center"/>
              <w:rPr>
                <w:b/>
                <w:sz w:val="20"/>
                <w:szCs w:val="20"/>
                <w:lang w:val="en-US"/>
              </w:rPr>
            </w:pPr>
          </w:p>
          <w:p w:rsidR="006549FC" w:rsidRPr="005A4B2A" w:rsidRDefault="001F79D5" w:rsidP="00286C7E">
            <w:pPr>
              <w:tabs>
                <w:tab w:val="left" w:pos="567"/>
                <w:tab w:val="left" w:pos="4678"/>
              </w:tabs>
              <w:jc w:val="center"/>
              <w:rPr>
                <w:sz w:val="20"/>
                <w:szCs w:val="20"/>
                <w:u w:val="single"/>
                <w:lang w:val="en-US"/>
              </w:rPr>
            </w:pPr>
            <w:r>
              <w:rPr>
                <w:sz w:val="20"/>
                <w:szCs w:val="20"/>
                <w:u w:val="single"/>
                <w:lang w:val="en-US"/>
              </w:rPr>
              <w:t>Seal:</w:t>
            </w:r>
          </w:p>
          <w:p w:rsidR="006549FC" w:rsidRPr="005A4B2A" w:rsidRDefault="001F79D5" w:rsidP="00286C7E">
            <w:pPr>
              <w:tabs>
                <w:tab w:val="left" w:pos="567"/>
                <w:tab w:val="left" w:pos="4678"/>
              </w:tabs>
              <w:jc w:val="center"/>
              <w:rPr>
                <w:i/>
                <w:sz w:val="20"/>
                <w:szCs w:val="20"/>
                <w:lang w:val="en-US"/>
              </w:rPr>
            </w:pPr>
            <w:r>
              <w:rPr>
                <w:i/>
                <w:sz w:val="20"/>
                <w:szCs w:val="20"/>
                <w:lang w:val="en-US"/>
              </w:rPr>
              <w:t xml:space="preserve">Eurasian Economic Commission. </w:t>
            </w:r>
          </w:p>
          <w:p w:rsidR="006549FC" w:rsidRPr="005A4B2A" w:rsidRDefault="001F79D5" w:rsidP="00286C7E">
            <w:pPr>
              <w:tabs>
                <w:tab w:val="left" w:pos="567"/>
                <w:tab w:val="left" w:pos="4678"/>
              </w:tabs>
              <w:jc w:val="center"/>
              <w:rPr>
                <w:b/>
                <w:i/>
                <w:sz w:val="20"/>
                <w:szCs w:val="20"/>
                <w:lang w:val="en-US"/>
              </w:rPr>
            </w:pPr>
            <w:r>
              <w:rPr>
                <w:i/>
                <w:sz w:val="20"/>
                <w:szCs w:val="20"/>
                <w:lang w:val="en-US"/>
              </w:rPr>
              <w:t>For documents</w:t>
            </w:r>
          </w:p>
          <w:p w:rsidR="006549FC" w:rsidRPr="005A4B2A" w:rsidRDefault="006549FC" w:rsidP="00286C7E">
            <w:pPr>
              <w:tabs>
                <w:tab w:val="left" w:pos="567"/>
                <w:tab w:val="left" w:pos="4678"/>
              </w:tabs>
              <w:rPr>
                <w:b/>
                <w:sz w:val="20"/>
                <w:szCs w:val="20"/>
                <w:lang w:val="en-US"/>
              </w:rPr>
            </w:pPr>
          </w:p>
        </w:tc>
        <w:tc>
          <w:tcPr>
            <w:tcW w:w="1880" w:type="dxa"/>
          </w:tcPr>
          <w:p w:rsidR="006549FC" w:rsidRPr="005A4B2A" w:rsidRDefault="001F79D5" w:rsidP="00286C7E">
            <w:pPr>
              <w:tabs>
                <w:tab w:val="left" w:pos="567"/>
                <w:tab w:val="left" w:pos="4678"/>
              </w:tabs>
              <w:jc w:val="center"/>
              <w:rPr>
                <w:b/>
                <w:sz w:val="20"/>
                <w:szCs w:val="20"/>
                <w:lang w:val="en-US"/>
              </w:rPr>
            </w:pPr>
            <w:r>
              <w:rPr>
                <w:b/>
                <w:sz w:val="20"/>
                <w:szCs w:val="20"/>
                <w:lang w:val="en-US"/>
              </w:rPr>
              <w:t>For the Republic of Belarus</w:t>
            </w:r>
          </w:p>
          <w:p w:rsidR="006549FC" w:rsidRPr="005A4B2A" w:rsidRDefault="006549FC" w:rsidP="00286C7E">
            <w:pPr>
              <w:tabs>
                <w:tab w:val="left" w:pos="567"/>
                <w:tab w:val="left" w:pos="4678"/>
              </w:tabs>
              <w:jc w:val="center"/>
              <w:rPr>
                <w:sz w:val="20"/>
                <w:szCs w:val="20"/>
                <w:u w:val="single"/>
                <w:lang w:val="en-US"/>
              </w:rPr>
            </w:pPr>
          </w:p>
          <w:p w:rsidR="006549FC" w:rsidRPr="005A4B2A" w:rsidRDefault="001F79D5" w:rsidP="00286C7E">
            <w:pPr>
              <w:tabs>
                <w:tab w:val="left" w:pos="567"/>
                <w:tab w:val="left" w:pos="4678"/>
              </w:tabs>
              <w:jc w:val="center"/>
              <w:rPr>
                <w:sz w:val="20"/>
                <w:szCs w:val="20"/>
                <w:u w:val="single"/>
                <w:lang w:val="en-US"/>
              </w:rPr>
            </w:pPr>
            <w:r>
              <w:rPr>
                <w:sz w:val="20"/>
                <w:szCs w:val="20"/>
                <w:u w:val="single"/>
                <w:lang w:val="en-US"/>
              </w:rPr>
              <w:t>Seal:</w:t>
            </w:r>
          </w:p>
          <w:p w:rsidR="006549FC" w:rsidRPr="005A4B2A" w:rsidRDefault="001F79D5" w:rsidP="00286C7E">
            <w:pPr>
              <w:tabs>
                <w:tab w:val="left" w:pos="567"/>
                <w:tab w:val="left" w:pos="4678"/>
              </w:tabs>
              <w:jc w:val="center"/>
              <w:rPr>
                <w:i/>
                <w:sz w:val="20"/>
                <w:szCs w:val="20"/>
                <w:lang w:val="en-US"/>
              </w:rPr>
            </w:pPr>
            <w:r>
              <w:rPr>
                <w:i/>
                <w:sz w:val="20"/>
                <w:szCs w:val="20"/>
                <w:lang w:val="en-US"/>
              </w:rPr>
              <w:t xml:space="preserve">Eurasian Economic Commission. </w:t>
            </w:r>
          </w:p>
          <w:p w:rsidR="006549FC" w:rsidRPr="005A4B2A" w:rsidRDefault="001F79D5" w:rsidP="00286C7E">
            <w:pPr>
              <w:tabs>
                <w:tab w:val="left" w:pos="567"/>
                <w:tab w:val="left" w:pos="4678"/>
              </w:tabs>
              <w:jc w:val="center"/>
              <w:rPr>
                <w:b/>
                <w:i/>
                <w:sz w:val="20"/>
                <w:szCs w:val="20"/>
                <w:lang w:val="en-US"/>
              </w:rPr>
            </w:pPr>
            <w:r>
              <w:rPr>
                <w:i/>
                <w:sz w:val="20"/>
                <w:szCs w:val="20"/>
                <w:lang w:val="en-US"/>
              </w:rPr>
              <w:t>For documents</w:t>
            </w:r>
          </w:p>
          <w:p w:rsidR="006549FC" w:rsidRPr="005A4B2A" w:rsidRDefault="006549FC" w:rsidP="00286C7E">
            <w:pPr>
              <w:tabs>
                <w:tab w:val="left" w:pos="567"/>
                <w:tab w:val="left" w:pos="4678"/>
              </w:tabs>
              <w:rPr>
                <w:b/>
                <w:sz w:val="20"/>
                <w:szCs w:val="20"/>
                <w:lang w:val="en-US"/>
              </w:rPr>
            </w:pPr>
          </w:p>
        </w:tc>
        <w:tc>
          <w:tcPr>
            <w:tcW w:w="1948" w:type="dxa"/>
          </w:tcPr>
          <w:p w:rsidR="006549FC" w:rsidRPr="005A4B2A" w:rsidRDefault="001F79D5" w:rsidP="00286C7E">
            <w:pPr>
              <w:tabs>
                <w:tab w:val="left" w:pos="567"/>
                <w:tab w:val="left" w:pos="4678"/>
              </w:tabs>
              <w:jc w:val="center"/>
              <w:rPr>
                <w:b/>
                <w:sz w:val="20"/>
                <w:szCs w:val="20"/>
                <w:lang w:val="en-US"/>
              </w:rPr>
            </w:pPr>
            <w:r>
              <w:rPr>
                <w:b/>
                <w:sz w:val="20"/>
                <w:szCs w:val="20"/>
                <w:lang w:val="en-US"/>
              </w:rPr>
              <w:t>For the Republic of Kazakhstan</w:t>
            </w:r>
          </w:p>
          <w:p w:rsidR="006549FC" w:rsidRPr="005A4B2A" w:rsidRDefault="006549FC" w:rsidP="00286C7E">
            <w:pPr>
              <w:tabs>
                <w:tab w:val="left" w:pos="567"/>
                <w:tab w:val="left" w:pos="4678"/>
              </w:tabs>
              <w:jc w:val="center"/>
              <w:rPr>
                <w:sz w:val="20"/>
                <w:szCs w:val="20"/>
                <w:u w:val="single"/>
                <w:lang w:val="en-US"/>
              </w:rPr>
            </w:pPr>
          </w:p>
          <w:p w:rsidR="006549FC" w:rsidRPr="005A4B2A" w:rsidRDefault="001F79D5" w:rsidP="00286C7E">
            <w:pPr>
              <w:tabs>
                <w:tab w:val="left" w:pos="567"/>
                <w:tab w:val="left" w:pos="4678"/>
              </w:tabs>
              <w:jc w:val="center"/>
              <w:rPr>
                <w:sz w:val="20"/>
                <w:szCs w:val="20"/>
                <w:u w:val="single"/>
                <w:lang w:val="en-US"/>
              </w:rPr>
            </w:pPr>
            <w:r>
              <w:rPr>
                <w:sz w:val="20"/>
                <w:szCs w:val="20"/>
                <w:u w:val="single"/>
                <w:lang w:val="en-US"/>
              </w:rPr>
              <w:t>Seal:</w:t>
            </w:r>
          </w:p>
          <w:p w:rsidR="006549FC" w:rsidRPr="005A4B2A" w:rsidRDefault="001F79D5" w:rsidP="00286C7E">
            <w:pPr>
              <w:tabs>
                <w:tab w:val="left" w:pos="567"/>
                <w:tab w:val="left" w:pos="4678"/>
              </w:tabs>
              <w:jc w:val="center"/>
              <w:rPr>
                <w:i/>
                <w:sz w:val="20"/>
                <w:szCs w:val="20"/>
                <w:lang w:val="en-US"/>
              </w:rPr>
            </w:pPr>
            <w:r>
              <w:rPr>
                <w:i/>
                <w:sz w:val="20"/>
                <w:szCs w:val="20"/>
                <w:lang w:val="en-US"/>
              </w:rPr>
              <w:t xml:space="preserve">Eurasian Economic Commission. </w:t>
            </w:r>
          </w:p>
          <w:p w:rsidR="006549FC" w:rsidRPr="005A4B2A" w:rsidRDefault="001F79D5" w:rsidP="00286C7E">
            <w:pPr>
              <w:tabs>
                <w:tab w:val="left" w:pos="567"/>
                <w:tab w:val="left" w:pos="4678"/>
              </w:tabs>
              <w:jc w:val="center"/>
              <w:rPr>
                <w:b/>
                <w:i/>
                <w:sz w:val="20"/>
                <w:szCs w:val="20"/>
                <w:lang w:val="en-US"/>
              </w:rPr>
            </w:pPr>
            <w:r>
              <w:rPr>
                <w:i/>
                <w:sz w:val="20"/>
                <w:szCs w:val="20"/>
                <w:lang w:val="en-US"/>
              </w:rPr>
              <w:t>For documents</w:t>
            </w:r>
          </w:p>
          <w:p w:rsidR="006549FC" w:rsidRPr="005A4B2A" w:rsidRDefault="006549FC" w:rsidP="00286C7E">
            <w:pPr>
              <w:tabs>
                <w:tab w:val="left" w:pos="567"/>
                <w:tab w:val="left" w:pos="4678"/>
              </w:tabs>
              <w:jc w:val="center"/>
              <w:rPr>
                <w:b/>
                <w:sz w:val="20"/>
                <w:szCs w:val="20"/>
                <w:lang w:val="en-US"/>
              </w:rPr>
            </w:pPr>
          </w:p>
        </w:tc>
        <w:tc>
          <w:tcPr>
            <w:tcW w:w="1914" w:type="dxa"/>
          </w:tcPr>
          <w:p w:rsidR="006549FC" w:rsidRPr="005A4B2A" w:rsidRDefault="001F79D5" w:rsidP="00286C7E">
            <w:pPr>
              <w:tabs>
                <w:tab w:val="left" w:pos="567"/>
                <w:tab w:val="left" w:pos="4678"/>
              </w:tabs>
              <w:jc w:val="center"/>
              <w:rPr>
                <w:b/>
                <w:sz w:val="20"/>
                <w:szCs w:val="20"/>
                <w:lang w:val="en-US"/>
              </w:rPr>
            </w:pPr>
            <w:r>
              <w:rPr>
                <w:b/>
                <w:sz w:val="20"/>
                <w:szCs w:val="20"/>
                <w:lang w:val="en-US"/>
              </w:rPr>
              <w:t>For the Kyrgyz Republic</w:t>
            </w:r>
          </w:p>
          <w:p w:rsidR="006549FC" w:rsidRPr="005A4B2A" w:rsidRDefault="006549FC" w:rsidP="00286C7E">
            <w:pPr>
              <w:tabs>
                <w:tab w:val="left" w:pos="567"/>
                <w:tab w:val="left" w:pos="4678"/>
              </w:tabs>
              <w:jc w:val="center"/>
              <w:rPr>
                <w:sz w:val="20"/>
                <w:szCs w:val="20"/>
                <w:u w:val="single"/>
                <w:lang w:val="en-US"/>
              </w:rPr>
            </w:pPr>
          </w:p>
          <w:p w:rsidR="006549FC" w:rsidRPr="005A4B2A" w:rsidRDefault="001F79D5" w:rsidP="00286C7E">
            <w:pPr>
              <w:tabs>
                <w:tab w:val="left" w:pos="567"/>
                <w:tab w:val="left" w:pos="4678"/>
              </w:tabs>
              <w:jc w:val="center"/>
              <w:rPr>
                <w:sz w:val="20"/>
                <w:szCs w:val="20"/>
                <w:u w:val="single"/>
                <w:lang w:val="en-US"/>
              </w:rPr>
            </w:pPr>
            <w:r>
              <w:rPr>
                <w:sz w:val="20"/>
                <w:szCs w:val="20"/>
                <w:u w:val="single"/>
                <w:lang w:val="en-US"/>
              </w:rPr>
              <w:t>Seal:</w:t>
            </w:r>
          </w:p>
          <w:p w:rsidR="006549FC" w:rsidRPr="005A4B2A" w:rsidRDefault="001F79D5" w:rsidP="00286C7E">
            <w:pPr>
              <w:tabs>
                <w:tab w:val="left" w:pos="567"/>
                <w:tab w:val="left" w:pos="4678"/>
              </w:tabs>
              <w:jc w:val="center"/>
              <w:rPr>
                <w:i/>
                <w:sz w:val="20"/>
                <w:szCs w:val="20"/>
                <w:lang w:val="en-US"/>
              </w:rPr>
            </w:pPr>
            <w:r>
              <w:rPr>
                <w:i/>
                <w:sz w:val="20"/>
                <w:szCs w:val="20"/>
                <w:lang w:val="en-US"/>
              </w:rPr>
              <w:t xml:space="preserve">Eurasian Economic Commission. </w:t>
            </w:r>
          </w:p>
          <w:p w:rsidR="006549FC" w:rsidRPr="005A4B2A" w:rsidRDefault="001F79D5" w:rsidP="00286C7E">
            <w:pPr>
              <w:tabs>
                <w:tab w:val="left" w:pos="567"/>
                <w:tab w:val="left" w:pos="4678"/>
              </w:tabs>
              <w:jc w:val="center"/>
              <w:rPr>
                <w:b/>
                <w:i/>
                <w:sz w:val="20"/>
                <w:szCs w:val="20"/>
                <w:lang w:val="en-US"/>
              </w:rPr>
            </w:pPr>
            <w:r>
              <w:rPr>
                <w:i/>
                <w:sz w:val="20"/>
                <w:szCs w:val="20"/>
                <w:lang w:val="en-US"/>
              </w:rPr>
              <w:t>For documents</w:t>
            </w:r>
          </w:p>
          <w:p w:rsidR="006549FC" w:rsidRPr="005A4B2A" w:rsidRDefault="006549FC" w:rsidP="00286C7E">
            <w:pPr>
              <w:tabs>
                <w:tab w:val="left" w:pos="567"/>
                <w:tab w:val="left" w:pos="4678"/>
              </w:tabs>
              <w:rPr>
                <w:b/>
                <w:sz w:val="20"/>
                <w:szCs w:val="20"/>
                <w:lang w:val="en-US"/>
              </w:rPr>
            </w:pPr>
          </w:p>
        </w:tc>
        <w:tc>
          <w:tcPr>
            <w:tcW w:w="1915" w:type="dxa"/>
          </w:tcPr>
          <w:p w:rsidR="006549FC" w:rsidRPr="005A4B2A" w:rsidRDefault="001F79D5" w:rsidP="00286C7E">
            <w:pPr>
              <w:tabs>
                <w:tab w:val="left" w:pos="567"/>
                <w:tab w:val="left" w:pos="4678"/>
              </w:tabs>
              <w:jc w:val="center"/>
              <w:rPr>
                <w:b/>
                <w:sz w:val="20"/>
                <w:szCs w:val="20"/>
                <w:lang w:val="en-US"/>
              </w:rPr>
            </w:pPr>
            <w:r>
              <w:rPr>
                <w:b/>
                <w:sz w:val="20"/>
                <w:szCs w:val="20"/>
                <w:lang w:val="en-US"/>
              </w:rPr>
              <w:t>For the Russian Federation</w:t>
            </w:r>
          </w:p>
          <w:p w:rsidR="006549FC" w:rsidRPr="005A4B2A" w:rsidRDefault="006549FC" w:rsidP="00286C7E">
            <w:pPr>
              <w:tabs>
                <w:tab w:val="left" w:pos="567"/>
                <w:tab w:val="left" w:pos="4678"/>
              </w:tabs>
              <w:jc w:val="center"/>
              <w:rPr>
                <w:sz w:val="20"/>
                <w:szCs w:val="20"/>
                <w:u w:val="single"/>
                <w:lang w:val="en-US"/>
              </w:rPr>
            </w:pPr>
          </w:p>
          <w:p w:rsidR="006549FC" w:rsidRPr="005A4B2A" w:rsidRDefault="001F79D5" w:rsidP="00286C7E">
            <w:pPr>
              <w:tabs>
                <w:tab w:val="left" w:pos="567"/>
                <w:tab w:val="left" w:pos="4678"/>
              </w:tabs>
              <w:jc w:val="center"/>
              <w:rPr>
                <w:sz w:val="20"/>
                <w:szCs w:val="20"/>
                <w:u w:val="single"/>
                <w:lang w:val="en-US"/>
              </w:rPr>
            </w:pPr>
            <w:r>
              <w:rPr>
                <w:sz w:val="20"/>
                <w:szCs w:val="20"/>
                <w:u w:val="single"/>
                <w:lang w:val="en-US"/>
              </w:rPr>
              <w:t>Seal:</w:t>
            </w:r>
          </w:p>
          <w:p w:rsidR="006549FC" w:rsidRPr="005A4B2A" w:rsidRDefault="001F79D5" w:rsidP="00286C7E">
            <w:pPr>
              <w:tabs>
                <w:tab w:val="left" w:pos="567"/>
                <w:tab w:val="left" w:pos="4678"/>
              </w:tabs>
              <w:jc w:val="center"/>
              <w:rPr>
                <w:i/>
                <w:sz w:val="20"/>
                <w:szCs w:val="20"/>
                <w:lang w:val="en-US"/>
              </w:rPr>
            </w:pPr>
            <w:r>
              <w:rPr>
                <w:i/>
                <w:sz w:val="20"/>
                <w:szCs w:val="20"/>
                <w:lang w:val="en-US"/>
              </w:rPr>
              <w:t xml:space="preserve">Eurasian Economic Commission. </w:t>
            </w:r>
          </w:p>
          <w:p w:rsidR="006549FC" w:rsidRPr="005A4B2A" w:rsidRDefault="001F79D5" w:rsidP="00286C7E">
            <w:pPr>
              <w:tabs>
                <w:tab w:val="left" w:pos="567"/>
                <w:tab w:val="left" w:pos="4678"/>
              </w:tabs>
              <w:jc w:val="center"/>
              <w:rPr>
                <w:b/>
                <w:i/>
                <w:sz w:val="20"/>
                <w:szCs w:val="20"/>
                <w:lang w:val="en-US"/>
              </w:rPr>
            </w:pPr>
            <w:r>
              <w:rPr>
                <w:i/>
                <w:sz w:val="20"/>
                <w:szCs w:val="20"/>
                <w:lang w:val="en-US"/>
              </w:rPr>
              <w:t>For documents</w:t>
            </w:r>
          </w:p>
          <w:p w:rsidR="006549FC" w:rsidRPr="005A4B2A" w:rsidRDefault="006549FC" w:rsidP="00286C7E">
            <w:pPr>
              <w:tabs>
                <w:tab w:val="left" w:pos="567"/>
                <w:tab w:val="left" w:pos="4678"/>
              </w:tabs>
              <w:rPr>
                <w:b/>
                <w:sz w:val="20"/>
                <w:szCs w:val="20"/>
                <w:lang w:val="en-US"/>
              </w:rPr>
            </w:pPr>
          </w:p>
        </w:tc>
      </w:tr>
      <w:tr w:rsidR="006549FC" w:rsidRPr="005A4B2A" w:rsidTr="006549FC">
        <w:tc>
          <w:tcPr>
            <w:tcW w:w="1914" w:type="dxa"/>
          </w:tcPr>
          <w:p w:rsidR="006549FC" w:rsidRPr="005A4B2A" w:rsidRDefault="001F79D5" w:rsidP="00286C7E">
            <w:pPr>
              <w:tabs>
                <w:tab w:val="left" w:pos="567"/>
                <w:tab w:val="left" w:pos="4678"/>
              </w:tabs>
              <w:jc w:val="center"/>
              <w:rPr>
                <w:b/>
                <w:sz w:val="20"/>
                <w:szCs w:val="20"/>
                <w:lang w:val="en-US"/>
              </w:rPr>
            </w:pPr>
            <w:r>
              <w:rPr>
                <w:b/>
                <w:sz w:val="20"/>
                <w:szCs w:val="20"/>
                <w:lang w:val="en-US"/>
              </w:rPr>
              <w:t>V. Gabrielyan</w:t>
            </w:r>
          </w:p>
        </w:tc>
        <w:tc>
          <w:tcPr>
            <w:tcW w:w="1880" w:type="dxa"/>
          </w:tcPr>
          <w:p w:rsidR="006549FC" w:rsidRPr="005A4B2A" w:rsidRDefault="001F79D5" w:rsidP="00286C7E">
            <w:pPr>
              <w:tabs>
                <w:tab w:val="left" w:pos="567"/>
                <w:tab w:val="left" w:pos="4678"/>
              </w:tabs>
              <w:jc w:val="center"/>
              <w:rPr>
                <w:b/>
                <w:sz w:val="20"/>
                <w:szCs w:val="20"/>
                <w:lang w:val="en-US"/>
              </w:rPr>
            </w:pPr>
            <w:r>
              <w:rPr>
                <w:b/>
                <w:sz w:val="20"/>
                <w:szCs w:val="20"/>
                <w:lang w:val="en-US"/>
              </w:rPr>
              <w:t>V. Matyushevskiy</w:t>
            </w:r>
          </w:p>
        </w:tc>
        <w:tc>
          <w:tcPr>
            <w:tcW w:w="1948" w:type="dxa"/>
          </w:tcPr>
          <w:p w:rsidR="006549FC" w:rsidRPr="005A4B2A" w:rsidRDefault="001F79D5" w:rsidP="00286C7E">
            <w:pPr>
              <w:tabs>
                <w:tab w:val="left" w:pos="567"/>
                <w:tab w:val="left" w:pos="4678"/>
              </w:tabs>
              <w:jc w:val="center"/>
              <w:rPr>
                <w:b/>
                <w:sz w:val="20"/>
                <w:szCs w:val="20"/>
                <w:lang w:val="en-US"/>
              </w:rPr>
            </w:pPr>
            <w:r>
              <w:rPr>
                <w:b/>
                <w:sz w:val="20"/>
                <w:szCs w:val="20"/>
                <w:lang w:val="en-US"/>
              </w:rPr>
              <w:t>B. Sagintaev</w:t>
            </w:r>
          </w:p>
        </w:tc>
        <w:tc>
          <w:tcPr>
            <w:tcW w:w="1914" w:type="dxa"/>
          </w:tcPr>
          <w:p w:rsidR="006549FC" w:rsidRPr="005A4B2A" w:rsidRDefault="001F79D5" w:rsidP="00286C7E">
            <w:pPr>
              <w:tabs>
                <w:tab w:val="left" w:pos="567"/>
                <w:tab w:val="left" w:pos="4678"/>
              </w:tabs>
              <w:jc w:val="center"/>
              <w:rPr>
                <w:b/>
                <w:sz w:val="20"/>
                <w:szCs w:val="20"/>
                <w:lang w:val="en-US"/>
              </w:rPr>
            </w:pPr>
            <w:r>
              <w:rPr>
                <w:b/>
                <w:sz w:val="20"/>
                <w:szCs w:val="20"/>
                <w:lang w:val="en-US"/>
              </w:rPr>
              <w:t>O. Pankratov</w:t>
            </w:r>
          </w:p>
        </w:tc>
        <w:tc>
          <w:tcPr>
            <w:tcW w:w="1915" w:type="dxa"/>
          </w:tcPr>
          <w:p w:rsidR="006549FC" w:rsidRPr="005A4B2A" w:rsidRDefault="001F79D5" w:rsidP="00286C7E">
            <w:pPr>
              <w:tabs>
                <w:tab w:val="left" w:pos="567"/>
                <w:tab w:val="left" w:pos="4678"/>
              </w:tabs>
              <w:jc w:val="center"/>
              <w:rPr>
                <w:b/>
                <w:sz w:val="20"/>
                <w:szCs w:val="20"/>
                <w:lang w:val="en-US"/>
              </w:rPr>
            </w:pPr>
            <w:r>
              <w:rPr>
                <w:b/>
                <w:sz w:val="20"/>
                <w:szCs w:val="20"/>
                <w:lang w:val="en-US"/>
              </w:rPr>
              <w:t>I. Shuvalov</w:t>
            </w:r>
          </w:p>
        </w:tc>
      </w:tr>
    </w:tbl>
    <w:p w:rsidR="0099192E" w:rsidRPr="005A4B2A" w:rsidRDefault="0099192E" w:rsidP="0099192E">
      <w:pPr>
        <w:ind w:firstLine="284"/>
        <w:rPr>
          <w:lang w:val="en-US"/>
        </w:rPr>
        <w:sectPr w:rsidR="0099192E" w:rsidRPr="005A4B2A">
          <w:pgSz w:w="11906" w:h="16838"/>
          <w:pgMar w:top="1134" w:right="850" w:bottom="1134" w:left="1701" w:header="708" w:footer="708" w:gutter="0"/>
          <w:cols w:space="708"/>
          <w:docGrid w:linePitch="360"/>
        </w:sectPr>
      </w:pPr>
    </w:p>
    <w:p w:rsidR="00000000" w:rsidRDefault="001F79D5">
      <w:pPr>
        <w:tabs>
          <w:tab w:val="left" w:pos="4678"/>
        </w:tabs>
        <w:ind w:left="5670"/>
        <w:jc w:val="center"/>
        <w:rPr>
          <w:lang w:val="en-US"/>
        </w:rPr>
      </w:pPr>
      <w:r>
        <w:rPr>
          <w:lang w:val="en-US"/>
        </w:rPr>
        <w:lastRenderedPageBreak/>
        <w:t>APPROVED</w:t>
      </w:r>
    </w:p>
    <w:p w:rsidR="00000000" w:rsidRDefault="001F79D5">
      <w:pPr>
        <w:tabs>
          <w:tab w:val="left" w:pos="-993"/>
          <w:tab w:val="left" w:pos="4678"/>
        </w:tabs>
        <w:ind w:left="5670"/>
        <w:jc w:val="center"/>
        <w:rPr>
          <w:lang w:val="en-US"/>
        </w:rPr>
      </w:pPr>
      <w:r>
        <w:rPr>
          <w:lang w:val="en-US"/>
        </w:rPr>
        <w:t>by Decision No. 26 of the Council of the Eurasian Economic Commission</w:t>
      </w:r>
    </w:p>
    <w:p w:rsidR="00000000" w:rsidRDefault="001F79D5">
      <w:pPr>
        <w:tabs>
          <w:tab w:val="left" w:pos="-993"/>
          <w:tab w:val="left" w:pos="4678"/>
        </w:tabs>
        <w:ind w:left="5670"/>
        <w:jc w:val="center"/>
        <w:rPr>
          <w:lang w:val="en-US"/>
        </w:rPr>
      </w:pPr>
      <w:r>
        <w:rPr>
          <w:lang w:val="en-US"/>
        </w:rPr>
        <w:t>dated</w:t>
      </w:r>
      <w:r w:rsidRPr="001F79D5">
        <w:rPr>
          <w:lang w:val="en-US"/>
        </w:rPr>
        <w:t xml:space="preserve"> </w:t>
      </w:r>
      <w:r>
        <w:rPr>
          <w:lang w:val="en-US"/>
        </w:rPr>
        <w:t>February</w:t>
      </w:r>
      <w:r w:rsidRPr="001F79D5">
        <w:rPr>
          <w:lang w:val="en-US"/>
        </w:rPr>
        <w:t xml:space="preserve"> 12, 2016</w:t>
      </w:r>
    </w:p>
    <w:p w:rsidR="0099192E" w:rsidRPr="005A4B2A" w:rsidRDefault="0099192E" w:rsidP="0099192E">
      <w:pPr>
        <w:tabs>
          <w:tab w:val="left" w:pos="-993"/>
          <w:tab w:val="left" w:pos="4678"/>
        </w:tabs>
        <w:rPr>
          <w:lang w:val="en-US"/>
        </w:rPr>
      </w:pPr>
    </w:p>
    <w:p w:rsidR="0099192E" w:rsidRPr="005A4B2A" w:rsidRDefault="001F79D5" w:rsidP="0099192E">
      <w:pPr>
        <w:ind w:firstLine="284"/>
        <w:jc w:val="center"/>
        <w:rPr>
          <w:b/>
          <w:lang w:val="en-US"/>
        </w:rPr>
      </w:pPr>
      <w:r>
        <w:rPr>
          <w:b/>
          <w:lang w:val="en-US"/>
        </w:rPr>
        <w:t>REGULATION</w:t>
      </w:r>
    </w:p>
    <w:p w:rsidR="0099192E" w:rsidRPr="005A4B2A" w:rsidRDefault="001F79D5" w:rsidP="0099192E">
      <w:pPr>
        <w:ind w:firstLine="284"/>
        <w:jc w:val="center"/>
        <w:rPr>
          <w:b/>
          <w:lang w:val="en-US"/>
        </w:rPr>
      </w:pPr>
      <w:r>
        <w:rPr>
          <w:b/>
          <w:lang w:val="en-US"/>
        </w:rPr>
        <w:t>on a special trademark of circulation of medical products</w:t>
      </w:r>
    </w:p>
    <w:p w:rsidR="0099192E" w:rsidRPr="005A4B2A" w:rsidRDefault="001F79D5" w:rsidP="0099192E">
      <w:pPr>
        <w:ind w:firstLine="284"/>
        <w:jc w:val="center"/>
        <w:rPr>
          <w:b/>
          <w:lang w:val="en-US"/>
        </w:rPr>
      </w:pPr>
      <w:r>
        <w:rPr>
          <w:b/>
          <w:lang w:val="en-US"/>
        </w:rPr>
        <w:t>in the market of the Eurasian Economic Union</w:t>
      </w:r>
    </w:p>
    <w:p w:rsidR="0099192E" w:rsidRPr="005A4B2A" w:rsidRDefault="0099192E" w:rsidP="0099192E">
      <w:pPr>
        <w:ind w:firstLine="284"/>
        <w:jc w:val="center"/>
        <w:rPr>
          <w:lang w:val="en-US"/>
        </w:rPr>
      </w:pPr>
    </w:p>
    <w:p w:rsidR="0099192E" w:rsidRPr="005A4B2A" w:rsidRDefault="001F79D5" w:rsidP="0099192E">
      <w:pPr>
        <w:tabs>
          <w:tab w:val="left" w:pos="-993"/>
          <w:tab w:val="left" w:pos="284"/>
          <w:tab w:val="left" w:pos="567"/>
          <w:tab w:val="left" w:pos="4678"/>
        </w:tabs>
        <w:ind w:firstLine="284"/>
        <w:rPr>
          <w:lang w:val="en-US"/>
        </w:rPr>
      </w:pPr>
      <w:r>
        <w:rPr>
          <w:lang w:val="en-US"/>
        </w:rPr>
        <w:t>1. This Regulation is developed in accordance with paragraph 2 of Article 31 of the Treaty on the Eurasian Economic Union dated May 29, 2014, paragraph 4 of Article 7 of the Agreement on Common Principles and Rules for Circulation of Medical Products (Medical Devices and Medical Equipment) within the Eurasian Economic Union dated December 23, 2014 and establish the procedure for use of a special trademark of circulation of medical products in the market of the Eurasian Economic Union (hereinafter, respectively, – special trademark of circulation, medical product, the Union).</w:t>
      </w:r>
    </w:p>
    <w:p w:rsidR="006400C4" w:rsidRPr="005A4B2A" w:rsidRDefault="001F79D5" w:rsidP="006400C4">
      <w:pPr>
        <w:ind w:firstLine="284"/>
        <w:rPr>
          <w:lang w:val="en-US"/>
        </w:rPr>
      </w:pPr>
      <w:r>
        <w:rPr>
          <w:lang w:val="en-US"/>
        </w:rPr>
        <w:t>2. A special trademark of circulation indicates that the medical product marked with it, passed the procedure for registration and confirmation of compliance with the general requirements for safety and efficacy of medical products and requirements for the introduction and maintenance of a quality management system for medical products established within the Union.</w:t>
      </w:r>
    </w:p>
    <w:p w:rsidR="006400C4" w:rsidRPr="005A4B2A" w:rsidRDefault="001F79D5" w:rsidP="006400C4">
      <w:pPr>
        <w:ind w:firstLine="284"/>
        <w:rPr>
          <w:lang w:val="en-US"/>
        </w:rPr>
      </w:pPr>
      <w:r>
        <w:rPr>
          <w:lang w:val="en-US"/>
        </w:rPr>
        <w:t>3. The abbreviation EAC means the Eurasian Conformity.</w:t>
      </w:r>
    </w:p>
    <w:p w:rsidR="006400C4" w:rsidRPr="005A4B2A" w:rsidRDefault="001F79D5" w:rsidP="006400C4">
      <w:pPr>
        <w:ind w:firstLine="284"/>
        <w:rPr>
          <w:lang w:val="en-US"/>
        </w:rPr>
      </w:pPr>
      <w:r>
        <w:rPr>
          <w:lang w:val="en-US"/>
        </w:rPr>
        <w:t>4. Marking of a medical product with a special trademark of circulation is made by the manufacturer of this medical product or his authorized representative.</w:t>
      </w:r>
    </w:p>
    <w:p w:rsidR="0099192E" w:rsidRPr="005A4B2A" w:rsidRDefault="001F79D5" w:rsidP="006400C4">
      <w:pPr>
        <w:ind w:firstLine="284"/>
        <w:rPr>
          <w:lang w:val="en-US"/>
        </w:rPr>
      </w:pPr>
      <w:r>
        <w:rPr>
          <w:lang w:val="en-US"/>
        </w:rPr>
        <w:t>5. Marking with a special trademark of circulation is made before the release of the medical product into circulation within the Union.</w:t>
      </w:r>
    </w:p>
    <w:p w:rsidR="006400C4" w:rsidRPr="005A4B2A" w:rsidRDefault="006400C4" w:rsidP="006400C4">
      <w:pPr>
        <w:ind w:firstLine="284"/>
        <w:rPr>
          <w:lang w:val="en-US"/>
        </w:rPr>
      </w:pPr>
    </w:p>
    <w:p w:rsidR="00000000" w:rsidRDefault="001F79D5">
      <w:pPr>
        <w:jc w:val="center"/>
        <w:rPr>
          <w:lang w:val="en-US"/>
        </w:rPr>
      </w:pPr>
      <w:r>
        <w:rPr>
          <w:lang w:val="en-US"/>
        </w:rPr>
        <w:t>_____________</w:t>
      </w:r>
    </w:p>
    <w:p w:rsidR="00000000" w:rsidRDefault="00D7403E">
      <w:pPr>
        <w:jc w:val="center"/>
        <w:rPr>
          <w:lang w:val="en-US"/>
        </w:rPr>
      </w:pPr>
    </w:p>
    <w:p w:rsidR="00000000" w:rsidRDefault="001F79D5">
      <w:pPr>
        <w:jc w:val="center"/>
        <w:rPr>
          <w:u w:val="single"/>
          <w:lang w:val="en-US"/>
        </w:rPr>
      </w:pPr>
      <w:r w:rsidRPr="001F79D5">
        <w:rPr>
          <w:u w:val="single"/>
          <w:lang w:val="en-US"/>
        </w:rPr>
        <w:t xml:space="preserve">Seal: </w:t>
      </w:r>
    </w:p>
    <w:p w:rsidR="00000000" w:rsidRDefault="001F79D5">
      <w:pPr>
        <w:jc w:val="center"/>
        <w:rPr>
          <w:i/>
          <w:lang w:val="en-US"/>
        </w:rPr>
      </w:pPr>
      <w:proofErr w:type="gramStart"/>
      <w:r w:rsidRPr="001F79D5">
        <w:rPr>
          <w:i/>
          <w:lang w:val="en-US"/>
        </w:rPr>
        <w:t>Eurasian Economic Commission.</w:t>
      </w:r>
      <w:proofErr w:type="gramEnd"/>
      <w:r w:rsidRPr="001F79D5">
        <w:rPr>
          <w:i/>
          <w:lang w:val="en-US"/>
        </w:rPr>
        <w:t xml:space="preserve"> </w:t>
      </w:r>
      <w:r w:rsidRPr="001F79D5">
        <w:rPr>
          <w:i/>
          <w:lang w:val="en-US"/>
        </w:rPr>
        <w:t>For document</w:t>
      </w:r>
      <w:r w:rsidRPr="001F79D5">
        <w:rPr>
          <w:i/>
          <w:lang w:val="en-US"/>
        </w:rPr>
        <w:t>s</w:t>
      </w:r>
    </w:p>
    <w:p w:rsidR="006400C4" w:rsidRPr="005A4B2A" w:rsidRDefault="006400C4" w:rsidP="006400C4">
      <w:pPr>
        <w:rPr>
          <w:lang w:val="en-US"/>
        </w:rPr>
      </w:pPr>
    </w:p>
    <w:p w:rsidR="006400C4" w:rsidRPr="005A4B2A" w:rsidRDefault="006400C4" w:rsidP="006400C4">
      <w:pPr>
        <w:rPr>
          <w:lang w:val="en-US"/>
        </w:rPr>
        <w:sectPr w:rsidR="006400C4" w:rsidRPr="005A4B2A">
          <w:pgSz w:w="11906" w:h="16838"/>
          <w:pgMar w:top="1134" w:right="850" w:bottom="1134" w:left="1701" w:header="708" w:footer="708" w:gutter="0"/>
          <w:cols w:space="708"/>
          <w:docGrid w:linePitch="360"/>
        </w:sectPr>
      </w:pPr>
    </w:p>
    <w:p w:rsidR="006400C4" w:rsidRPr="005A4B2A" w:rsidRDefault="001F79D5" w:rsidP="006400C4">
      <w:pPr>
        <w:tabs>
          <w:tab w:val="left" w:pos="0"/>
          <w:tab w:val="left" w:pos="4678"/>
        </w:tabs>
        <w:ind w:firstLine="7088"/>
        <w:rPr>
          <w:lang w:val="en-US"/>
        </w:rPr>
      </w:pPr>
      <w:r>
        <w:rPr>
          <w:lang w:val="en-US"/>
        </w:rPr>
        <w:lastRenderedPageBreak/>
        <w:t>APPROVED</w:t>
      </w:r>
    </w:p>
    <w:p w:rsidR="006400C4" w:rsidRPr="005A4B2A" w:rsidRDefault="001F79D5" w:rsidP="006400C4">
      <w:pPr>
        <w:tabs>
          <w:tab w:val="left" w:pos="-993"/>
          <w:tab w:val="left" w:pos="4678"/>
        </w:tabs>
        <w:ind w:left="5954"/>
        <w:rPr>
          <w:lang w:val="en-US"/>
        </w:rPr>
      </w:pPr>
      <w:proofErr w:type="gramStart"/>
      <w:r>
        <w:rPr>
          <w:lang w:val="en-US"/>
        </w:rPr>
        <w:t>by</w:t>
      </w:r>
      <w:proofErr w:type="gramEnd"/>
      <w:r>
        <w:rPr>
          <w:lang w:val="en-US"/>
        </w:rPr>
        <w:t xml:space="preserve"> Decision No. 26 of the Council of the Eurasian Economic Union</w:t>
      </w:r>
    </w:p>
    <w:p w:rsidR="006400C4" w:rsidRPr="005A4B2A" w:rsidRDefault="001F79D5" w:rsidP="006400C4">
      <w:pPr>
        <w:tabs>
          <w:tab w:val="left" w:pos="-993"/>
          <w:tab w:val="left" w:pos="4678"/>
        </w:tabs>
        <w:ind w:left="5954" w:firstLine="567"/>
        <w:rPr>
          <w:lang w:val="en-US"/>
        </w:rPr>
      </w:pPr>
      <w:proofErr w:type="gramStart"/>
      <w:r>
        <w:rPr>
          <w:lang w:val="en-US"/>
        </w:rPr>
        <w:t>dated</w:t>
      </w:r>
      <w:proofErr w:type="gramEnd"/>
      <w:r w:rsidRPr="001F79D5">
        <w:rPr>
          <w:lang w:val="en-US"/>
        </w:rPr>
        <w:t xml:space="preserve"> </w:t>
      </w:r>
      <w:r>
        <w:rPr>
          <w:lang w:val="en-US"/>
        </w:rPr>
        <w:t>February</w:t>
      </w:r>
      <w:r w:rsidRPr="001F79D5">
        <w:rPr>
          <w:lang w:val="en-US"/>
        </w:rPr>
        <w:t xml:space="preserve"> 12, 2016</w:t>
      </w:r>
    </w:p>
    <w:p w:rsidR="006400C4" w:rsidRPr="005A4B2A" w:rsidRDefault="006400C4" w:rsidP="006400C4">
      <w:pPr>
        <w:rPr>
          <w:lang w:val="en-US"/>
        </w:rPr>
      </w:pPr>
    </w:p>
    <w:p w:rsidR="006400C4" w:rsidRPr="005A4B2A" w:rsidRDefault="001F79D5" w:rsidP="006400C4">
      <w:pPr>
        <w:jc w:val="center"/>
        <w:rPr>
          <w:b/>
          <w:lang w:val="en-US"/>
        </w:rPr>
      </w:pPr>
      <w:r>
        <w:rPr>
          <w:b/>
          <w:lang w:val="en-US"/>
        </w:rPr>
        <w:t>IMAGE</w:t>
      </w:r>
    </w:p>
    <w:p w:rsidR="006400C4" w:rsidRPr="005A4B2A" w:rsidRDefault="001F79D5" w:rsidP="006400C4">
      <w:pPr>
        <w:jc w:val="center"/>
        <w:rPr>
          <w:b/>
          <w:lang w:val="en-US"/>
        </w:rPr>
      </w:pPr>
      <w:r>
        <w:rPr>
          <w:b/>
          <w:lang w:val="en-US"/>
        </w:rPr>
        <w:t>of a special trademark of circulation of medical products</w:t>
      </w:r>
    </w:p>
    <w:p w:rsidR="006400C4" w:rsidRPr="005A4B2A" w:rsidRDefault="001F79D5" w:rsidP="006400C4">
      <w:pPr>
        <w:jc w:val="center"/>
        <w:rPr>
          <w:b/>
          <w:lang w:val="en-US"/>
        </w:rPr>
      </w:pPr>
      <w:r>
        <w:rPr>
          <w:b/>
          <w:lang w:val="en-US"/>
        </w:rPr>
        <w:t>in the market of the Eurasian Economic Union</w:t>
      </w:r>
    </w:p>
    <w:p w:rsidR="006400C4" w:rsidRPr="005A4B2A" w:rsidRDefault="006400C4" w:rsidP="006400C4">
      <w:pPr>
        <w:rPr>
          <w:lang w:val="en-US"/>
        </w:rPr>
      </w:pPr>
    </w:p>
    <w:p w:rsidR="00742381" w:rsidRPr="005A4B2A" w:rsidRDefault="001F79D5" w:rsidP="00742381">
      <w:pPr>
        <w:jc w:val="center"/>
        <w:rPr>
          <w:lang w:val="en-US"/>
        </w:rPr>
      </w:pPr>
      <w:r>
        <w:rPr>
          <w:lang w:val="en-US"/>
        </w:rPr>
        <w:t>I. Description of the image of a special trademark</w:t>
      </w:r>
    </w:p>
    <w:p w:rsidR="00742381" w:rsidRPr="005A4B2A" w:rsidRDefault="001F79D5" w:rsidP="00742381">
      <w:pPr>
        <w:jc w:val="center"/>
        <w:rPr>
          <w:lang w:val="en-US"/>
        </w:rPr>
      </w:pPr>
      <w:r>
        <w:rPr>
          <w:lang w:val="en-US"/>
        </w:rPr>
        <w:t>of circulation of medical products in the market</w:t>
      </w:r>
    </w:p>
    <w:p w:rsidR="00742381" w:rsidRPr="005A4B2A" w:rsidRDefault="001F79D5" w:rsidP="00742381">
      <w:pPr>
        <w:jc w:val="center"/>
        <w:rPr>
          <w:lang w:val="en-US"/>
        </w:rPr>
      </w:pPr>
      <w:r>
        <w:rPr>
          <w:lang w:val="en-US"/>
        </w:rPr>
        <w:t>of the Eurasian Economic Union</w:t>
      </w:r>
    </w:p>
    <w:p w:rsidR="00742381" w:rsidRPr="005A4B2A" w:rsidRDefault="00742381" w:rsidP="00742381">
      <w:pPr>
        <w:rPr>
          <w:lang w:val="en-US"/>
        </w:rPr>
      </w:pPr>
    </w:p>
    <w:p w:rsidR="00742381" w:rsidRPr="005A4B2A" w:rsidRDefault="001F79D5" w:rsidP="00742381">
      <w:pPr>
        <w:ind w:firstLine="284"/>
        <w:rPr>
          <w:lang w:val="en-US"/>
        </w:rPr>
      </w:pPr>
      <w:r>
        <w:rPr>
          <w:lang w:val="en-US"/>
        </w:rPr>
        <w:t>The image of a special trademark of circulation of medical products in the market of the Eurasian Economic Union (hereinafter referred to as the special trademark of circulation) is a contour of a square with the abbreviation EAC inscribed in it, centered on the vertical axis of symmetry, which is formed by a combination of three stylized letters of the Latin alphabet “E”, “A” and “C”, graphically executed with the use of right angles, having the same height and width, and repeats the exact proportions of the square on the light (Figure 1) or contrast (Figure 2) background.</w:t>
      </w:r>
    </w:p>
    <w:p w:rsidR="00742381" w:rsidRPr="005A4B2A" w:rsidRDefault="00742381" w:rsidP="00742381">
      <w:pPr>
        <w:ind w:firstLine="284"/>
        <w:rPr>
          <w:lang w:val="en-US"/>
        </w:rPr>
      </w:pPr>
    </w:p>
    <w:p w:rsidR="00193175" w:rsidRPr="005A4B2A" w:rsidRDefault="00D7403E" w:rsidP="00193175">
      <w:pPr>
        <w:ind w:firstLine="284"/>
        <w:jc w:val="center"/>
        <w:rPr>
          <w:lang w:val="en-US"/>
        </w:rPr>
      </w:pPr>
      <w:r>
        <w:rPr>
          <w:noProof/>
          <w:lang w:eastAsia="ru-RU"/>
        </w:rPr>
        <w:drawing>
          <wp:inline distT="0" distB="0" distL="0" distR="0">
            <wp:extent cx="4651513" cy="218722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9045" cy="2190771"/>
                    </a:xfrm>
                    <a:prstGeom prst="rect">
                      <a:avLst/>
                    </a:prstGeom>
                    <a:noFill/>
                    <a:ln>
                      <a:noFill/>
                    </a:ln>
                  </pic:spPr>
                </pic:pic>
              </a:graphicData>
            </a:graphic>
          </wp:inline>
        </w:drawing>
      </w:r>
    </w:p>
    <w:p w:rsidR="00193175" w:rsidRPr="005A4B2A" w:rsidRDefault="001F79D5" w:rsidP="00742381">
      <w:pPr>
        <w:rPr>
          <w:lang w:val="en-US"/>
        </w:rPr>
      </w:pPr>
      <w:r>
        <w:rPr>
          <w:lang w:val="en-US"/>
        </w:rPr>
        <w:tab/>
      </w:r>
      <w:r>
        <w:rPr>
          <w:lang w:val="en-US"/>
        </w:rPr>
        <w:tab/>
      </w:r>
      <w:r>
        <w:rPr>
          <w:lang w:val="en-US"/>
        </w:rPr>
        <w:tab/>
        <w:t>Figure 1</w:t>
      </w:r>
      <w:r>
        <w:rPr>
          <w:lang w:val="en-US"/>
        </w:rPr>
        <w:tab/>
      </w:r>
      <w:r>
        <w:rPr>
          <w:lang w:val="en-US"/>
        </w:rPr>
        <w:tab/>
      </w:r>
      <w:r>
        <w:rPr>
          <w:lang w:val="en-US"/>
        </w:rPr>
        <w:tab/>
      </w:r>
      <w:r>
        <w:rPr>
          <w:lang w:val="en-US"/>
        </w:rPr>
        <w:tab/>
      </w:r>
      <w:r>
        <w:rPr>
          <w:lang w:val="en-US"/>
        </w:rPr>
        <w:tab/>
        <w:t>Figure 2</w:t>
      </w:r>
    </w:p>
    <w:p w:rsidR="00193175" w:rsidRPr="005A4B2A" w:rsidRDefault="00193175" w:rsidP="00742381">
      <w:pPr>
        <w:rPr>
          <w:lang w:val="en-US"/>
        </w:rPr>
      </w:pPr>
    </w:p>
    <w:p w:rsidR="00193175" w:rsidRPr="005A4B2A" w:rsidRDefault="001F79D5" w:rsidP="00193175">
      <w:pPr>
        <w:ind w:firstLine="284"/>
        <w:rPr>
          <w:lang w:val="en-US"/>
        </w:rPr>
      </w:pPr>
      <w:r>
        <w:rPr>
          <w:lang w:val="en-US"/>
        </w:rPr>
        <w:t>The image of the special trademark of circulation must be monochrome and contrast with the color of the surface on which it is applied.</w:t>
      </w:r>
    </w:p>
    <w:p w:rsidR="004128ED" w:rsidRPr="005A4B2A" w:rsidRDefault="001F79D5" w:rsidP="004128ED">
      <w:pPr>
        <w:ind w:firstLine="284"/>
        <w:rPr>
          <w:lang w:val="en-US"/>
        </w:rPr>
      </w:pPr>
      <w:r>
        <w:rPr>
          <w:lang w:val="en-US"/>
        </w:rPr>
        <w:t>The width of the line of the elements of the abbreviation “EAC” is equal to the width of the line of the contour of the square.</w:t>
      </w:r>
    </w:p>
    <w:p w:rsidR="004128ED" w:rsidRPr="005A4B2A" w:rsidRDefault="001F79D5" w:rsidP="004128ED">
      <w:pPr>
        <w:ind w:firstLine="284"/>
        <w:rPr>
          <w:lang w:val="en-US"/>
        </w:rPr>
      </w:pPr>
      <w:r>
        <w:rPr>
          <w:lang w:val="en-US"/>
        </w:rPr>
        <w:t>In the lower part, the contour opens; the inscription “MED” is inscribed on the opening, which is the abbreviation of the word “medical”. The inscription consists of three letters of the Latin alphabet “M”, “E”, “D”, centered along the vertical axis of symmetry. The width of the line of the elements of the inscription “MED” is 1/2 of the width of the contour of the square. The horizontal axis of symmetry of the inscription “MED” coincides with the horizontal axis of symmetry of the width of the lower contour of the square.</w:t>
      </w:r>
    </w:p>
    <w:p w:rsidR="00193175" w:rsidRPr="005A4B2A" w:rsidRDefault="00193175" w:rsidP="004128ED">
      <w:pPr>
        <w:rPr>
          <w:lang w:val="en-US"/>
        </w:rPr>
      </w:pPr>
    </w:p>
    <w:p w:rsidR="004128ED" w:rsidRPr="005A4B2A" w:rsidRDefault="001F79D5" w:rsidP="004128ED">
      <w:pPr>
        <w:ind w:firstLine="284"/>
        <w:jc w:val="center"/>
        <w:rPr>
          <w:lang w:val="en-US"/>
        </w:rPr>
      </w:pPr>
      <w:r>
        <w:rPr>
          <w:lang w:val="en-US"/>
        </w:rPr>
        <w:t>II. Dimensions and proportions of the special trademark of circulation</w:t>
      </w:r>
    </w:p>
    <w:p w:rsidR="004128ED" w:rsidRPr="005A4B2A" w:rsidRDefault="004128ED" w:rsidP="004128ED">
      <w:pPr>
        <w:ind w:firstLine="284"/>
        <w:rPr>
          <w:lang w:val="en-US"/>
        </w:rPr>
      </w:pPr>
    </w:p>
    <w:p w:rsidR="004128ED" w:rsidRPr="005A4B2A" w:rsidRDefault="001F79D5" w:rsidP="004128ED">
      <w:pPr>
        <w:ind w:firstLine="284"/>
        <w:rPr>
          <w:lang w:val="en-US"/>
        </w:rPr>
      </w:pPr>
      <w:r>
        <w:rPr>
          <w:lang w:val="en-US"/>
        </w:rPr>
        <w:t>The image of a special trademark of circulation on a scale grid with the dimensions and proportions is shown in Figure 3.</w:t>
      </w:r>
    </w:p>
    <w:p w:rsidR="00193175" w:rsidRPr="005A4B2A" w:rsidRDefault="00D7403E" w:rsidP="004128ED">
      <w:pPr>
        <w:ind w:firstLine="284"/>
        <w:jc w:val="center"/>
        <w:rPr>
          <w:lang w:val="en-US"/>
        </w:rPr>
      </w:pPr>
      <w:r>
        <w:rPr>
          <w:noProof/>
          <w:lang w:eastAsia="ru-RU"/>
        </w:rPr>
        <w:lastRenderedPageBreak/>
        <w:drawing>
          <wp:inline distT="0" distB="0" distL="0" distR="0">
            <wp:extent cx="3140765" cy="378007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6476" cy="3786948"/>
                    </a:xfrm>
                    <a:prstGeom prst="rect">
                      <a:avLst/>
                    </a:prstGeom>
                    <a:noFill/>
                    <a:ln>
                      <a:noFill/>
                    </a:ln>
                  </pic:spPr>
                </pic:pic>
              </a:graphicData>
            </a:graphic>
          </wp:inline>
        </w:drawing>
      </w:r>
    </w:p>
    <w:p w:rsidR="004128ED" w:rsidRPr="005A4B2A" w:rsidRDefault="001F79D5" w:rsidP="004128ED">
      <w:pPr>
        <w:ind w:firstLine="284"/>
        <w:jc w:val="center"/>
        <w:rPr>
          <w:lang w:val="en-US"/>
        </w:rPr>
      </w:pPr>
      <w:r>
        <w:rPr>
          <w:lang w:val="en-US"/>
        </w:rPr>
        <w:t>Figure 3</w:t>
      </w:r>
    </w:p>
    <w:p w:rsidR="004128ED" w:rsidRPr="005A4B2A" w:rsidRDefault="004128ED" w:rsidP="004128ED">
      <w:pPr>
        <w:ind w:firstLine="284"/>
        <w:rPr>
          <w:lang w:val="en-US"/>
        </w:rPr>
      </w:pPr>
    </w:p>
    <w:p w:rsidR="004128ED" w:rsidRPr="005A4B2A" w:rsidRDefault="001F79D5" w:rsidP="004128ED">
      <w:pPr>
        <w:ind w:firstLine="284"/>
        <w:rPr>
          <w:lang w:val="en-US"/>
        </w:rPr>
      </w:pPr>
      <w:r>
        <w:rPr>
          <w:lang w:val="en-US"/>
        </w:rPr>
        <w:t xml:space="preserve">Main proportions of the special trademark of circulation on the scale grid: vertical size H </w:t>
      </w:r>
      <w:r>
        <w:rPr>
          <w:lang w:val="en-US"/>
        </w:rPr>
        <w:noBreakHyphen/>
        <w:t xml:space="preserve"> 30a, the horizontal size B </w:t>
      </w:r>
      <w:r>
        <w:rPr>
          <w:lang w:val="en-US"/>
        </w:rPr>
        <w:noBreakHyphen/>
        <w:t xml:space="preserve"> 28a, where “a” is the size-forming module.</w:t>
      </w:r>
    </w:p>
    <w:p w:rsidR="004128ED" w:rsidRPr="005A4B2A" w:rsidRDefault="001F79D5" w:rsidP="004128ED">
      <w:pPr>
        <w:ind w:firstLine="284"/>
        <w:rPr>
          <w:lang w:val="en-US"/>
        </w:rPr>
      </w:pPr>
      <w:r>
        <w:rPr>
          <w:lang w:val="en-US"/>
        </w:rPr>
        <w:t>Dimensions of the special trademark of circulation when scaling are determined by the proportional change in H and B values.</w:t>
      </w:r>
    </w:p>
    <w:p w:rsidR="004128ED" w:rsidRPr="005A4B2A" w:rsidRDefault="001F79D5" w:rsidP="004128ED">
      <w:pPr>
        <w:ind w:firstLine="284"/>
        <w:rPr>
          <w:lang w:val="en-US"/>
        </w:rPr>
      </w:pPr>
      <w:r>
        <w:rPr>
          <w:lang w:val="en-US"/>
        </w:rPr>
        <w:t>The minimum allowable size B is 6 mm.</w:t>
      </w:r>
    </w:p>
    <w:p w:rsidR="004128ED" w:rsidRPr="005A4B2A" w:rsidRDefault="004128ED" w:rsidP="004128ED">
      <w:pPr>
        <w:ind w:firstLine="284"/>
        <w:rPr>
          <w:lang w:val="en-US"/>
        </w:rPr>
      </w:pPr>
    </w:p>
    <w:p w:rsidR="00000000" w:rsidRDefault="001F79D5">
      <w:pPr>
        <w:jc w:val="center"/>
        <w:rPr>
          <w:lang w:val="en-US"/>
        </w:rPr>
      </w:pPr>
      <w:r>
        <w:rPr>
          <w:lang w:val="en-US"/>
        </w:rPr>
        <w:t xml:space="preserve">_____________ </w:t>
      </w:r>
    </w:p>
    <w:p w:rsidR="00000000" w:rsidRDefault="00D7403E">
      <w:pPr>
        <w:jc w:val="center"/>
        <w:rPr>
          <w:lang w:val="en-US"/>
        </w:rPr>
      </w:pPr>
    </w:p>
    <w:p w:rsidR="00994E8B" w:rsidRPr="005A4B2A" w:rsidRDefault="001F79D5">
      <w:pPr>
        <w:jc w:val="center"/>
        <w:rPr>
          <w:u w:val="single"/>
          <w:lang w:val="en-US"/>
        </w:rPr>
      </w:pPr>
      <w:r>
        <w:rPr>
          <w:u w:val="single"/>
          <w:lang w:val="en-US"/>
        </w:rPr>
        <w:t>Seal:</w:t>
      </w:r>
    </w:p>
    <w:p w:rsidR="00000000" w:rsidRDefault="001F79D5">
      <w:pPr>
        <w:jc w:val="center"/>
        <w:rPr>
          <w:lang w:val="en-US"/>
        </w:rPr>
      </w:pPr>
      <w:r>
        <w:rPr>
          <w:i/>
          <w:lang w:val="en-US"/>
        </w:rPr>
        <w:t>Eurasian Economic Commission. For documents</w:t>
      </w:r>
    </w:p>
    <w:sectPr w:rsidR="00000000" w:rsidSect="001F79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A20" w:rsidRDefault="00DE1A20" w:rsidP="002912C0">
      <w:r>
        <w:separator/>
      </w:r>
    </w:p>
  </w:endnote>
  <w:endnote w:type="continuationSeparator" w:id="0">
    <w:p w:rsidR="00DE1A20" w:rsidRDefault="00DE1A20" w:rsidP="0029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A20" w:rsidRDefault="00DE1A20" w:rsidP="002912C0">
      <w:r>
        <w:separator/>
      </w:r>
    </w:p>
  </w:footnote>
  <w:footnote w:type="continuationSeparator" w:id="0">
    <w:p w:rsidR="00DE1A20" w:rsidRDefault="00DE1A20" w:rsidP="002912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1"/>
    <w:footnote w:id="0"/>
  </w:footnotePr>
  <w:endnotePr>
    <w:endnote w:id="-1"/>
    <w:endnote w:id="0"/>
  </w:endnotePr>
  <w:compat/>
  <w:rsids>
    <w:rsidRoot w:val="002912C0"/>
    <w:rsid w:val="00103E0F"/>
    <w:rsid w:val="00193175"/>
    <w:rsid w:val="001F79D5"/>
    <w:rsid w:val="00237AC5"/>
    <w:rsid w:val="002452BB"/>
    <w:rsid w:val="002912C0"/>
    <w:rsid w:val="004128ED"/>
    <w:rsid w:val="00451C26"/>
    <w:rsid w:val="005A4B2A"/>
    <w:rsid w:val="005A6307"/>
    <w:rsid w:val="005D2D00"/>
    <w:rsid w:val="006400C4"/>
    <w:rsid w:val="006549FC"/>
    <w:rsid w:val="006B78C1"/>
    <w:rsid w:val="00742381"/>
    <w:rsid w:val="008645F5"/>
    <w:rsid w:val="00985357"/>
    <w:rsid w:val="0099192E"/>
    <w:rsid w:val="00994E8B"/>
    <w:rsid w:val="00A62C26"/>
    <w:rsid w:val="00C611AA"/>
    <w:rsid w:val="00D7403E"/>
    <w:rsid w:val="00DE1A20"/>
    <w:rsid w:val="00E96FC8"/>
    <w:rsid w:val="00F72AC6"/>
    <w:rsid w:val="00FE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2C0"/>
    <w:pPr>
      <w:tabs>
        <w:tab w:val="center" w:pos="4677"/>
        <w:tab w:val="right" w:pos="9355"/>
      </w:tabs>
    </w:pPr>
  </w:style>
  <w:style w:type="character" w:customStyle="1" w:styleId="a4">
    <w:name w:val="Верхний колонтитул Знак"/>
    <w:basedOn w:val="a0"/>
    <w:link w:val="a3"/>
    <w:uiPriority w:val="99"/>
    <w:rsid w:val="002912C0"/>
  </w:style>
  <w:style w:type="paragraph" w:styleId="a5">
    <w:name w:val="footer"/>
    <w:basedOn w:val="a"/>
    <w:link w:val="a6"/>
    <w:uiPriority w:val="99"/>
    <w:unhideWhenUsed/>
    <w:rsid w:val="002912C0"/>
    <w:pPr>
      <w:tabs>
        <w:tab w:val="center" w:pos="4677"/>
        <w:tab w:val="right" w:pos="9355"/>
      </w:tabs>
    </w:pPr>
  </w:style>
  <w:style w:type="character" w:customStyle="1" w:styleId="a6">
    <w:name w:val="Нижний колонтитул Знак"/>
    <w:basedOn w:val="a0"/>
    <w:link w:val="a5"/>
    <w:uiPriority w:val="99"/>
    <w:rsid w:val="002912C0"/>
  </w:style>
  <w:style w:type="table" w:styleId="a7">
    <w:name w:val="Table Grid"/>
    <w:basedOn w:val="a1"/>
    <w:uiPriority w:val="59"/>
    <w:rsid w:val="00991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3175"/>
    <w:rPr>
      <w:rFonts w:ascii="Tahoma" w:hAnsi="Tahoma" w:cs="Tahoma"/>
      <w:sz w:val="16"/>
      <w:szCs w:val="16"/>
    </w:rPr>
  </w:style>
  <w:style w:type="character" w:customStyle="1" w:styleId="a9">
    <w:name w:val="Текст выноски Знак"/>
    <w:basedOn w:val="a0"/>
    <w:link w:val="a8"/>
    <w:uiPriority w:val="99"/>
    <w:semiHidden/>
    <w:rsid w:val="00193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978739">
      <w:bodyDiv w:val="1"/>
      <w:marLeft w:val="0"/>
      <w:marRight w:val="0"/>
      <w:marTop w:val="0"/>
      <w:marBottom w:val="0"/>
      <w:divBdr>
        <w:top w:val="none" w:sz="0" w:space="0" w:color="auto"/>
        <w:left w:val="none" w:sz="0" w:space="0" w:color="auto"/>
        <w:bottom w:val="none" w:sz="0" w:space="0" w:color="auto"/>
        <w:right w:val="none" w:sz="0" w:space="0" w:color="auto"/>
      </w:divBdr>
    </w:div>
    <w:div w:id="294675117">
      <w:bodyDiv w:val="1"/>
      <w:marLeft w:val="0"/>
      <w:marRight w:val="0"/>
      <w:marTop w:val="0"/>
      <w:marBottom w:val="0"/>
      <w:divBdr>
        <w:top w:val="none" w:sz="0" w:space="0" w:color="auto"/>
        <w:left w:val="none" w:sz="0" w:space="0" w:color="auto"/>
        <w:bottom w:val="none" w:sz="0" w:space="0" w:color="auto"/>
        <w:right w:val="none" w:sz="0" w:space="0" w:color="auto"/>
      </w:divBdr>
    </w:div>
    <w:div w:id="467939430">
      <w:bodyDiv w:val="1"/>
      <w:marLeft w:val="0"/>
      <w:marRight w:val="0"/>
      <w:marTop w:val="0"/>
      <w:marBottom w:val="0"/>
      <w:divBdr>
        <w:top w:val="none" w:sz="0" w:space="0" w:color="auto"/>
        <w:left w:val="none" w:sz="0" w:space="0" w:color="auto"/>
        <w:bottom w:val="none" w:sz="0" w:space="0" w:color="auto"/>
        <w:right w:val="none" w:sz="0" w:space="0" w:color="auto"/>
      </w:divBdr>
    </w:div>
    <w:div w:id="633022455">
      <w:bodyDiv w:val="1"/>
      <w:marLeft w:val="0"/>
      <w:marRight w:val="0"/>
      <w:marTop w:val="0"/>
      <w:marBottom w:val="0"/>
      <w:divBdr>
        <w:top w:val="none" w:sz="0" w:space="0" w:color="auto"/>
        <w:left w:val="none" w:sz="0" w:space="0" w:color="auto"/>
        <w:bottom w:val="none" w:sz="0" w:space="0" w:color="auto"/>
        <w:right w:val="none" w:sz="0" w:space="0" w:color="auto"/>
      </w:divBdr>
    </w:div>
    <w:div w:id="642541145">
      <w:bodyDiv w:val="1"/>
      <w:marLeft w:val="0"/>
      <w:marRight w:val="0"/>
      <w:marTop w:val="0"/>
      <w:marBottom w:val="0"/>
      <w:divBdr>
        <w:top w:val="none" w:sz="0" w:space="0" w:color="auto"/>
        <w:left w:val="none" w:sz="0" w:space="0" w:color="auto"/>
        <w:bottom w:val="none" w:sz="0" w:space="0" w:color="auto"/>
        <w:right w:val="none" w:sz="0" w:space="0" w:color="auto"/>
      </w:divBdr>
    </w:div>
    <w:div w:id="728071461">
      <w:bodyDiv w:val="1"/>
      <w:marLeft w:val="0"/>
      <w:marRight w:val="0"/>
      <w:marTop w:val="0"/>
      <w:marBottom w:val="0"/>
      <w:divBdr>
        <w:top w:val="none" w:sz="0" w:space="0" w:color="auto"/>
        <w:left w:val="none" w:sz="0" w:space="0" w:color="auto"/>
        <w:bottom w:val="none" w:sz="0" w:space="0" w:color="auto"/>
        <w:right w:val="none" w:sz="0" w:space="0" w:color="auto"/>
      </w:divBdr>
    </w:div>
    <w:div w:id="1117988623">
      <w:bodyDiv w:val="1"/>
      <w:marLeft w:val="0"/>
      <w:marRight w:val="0"/>
      <w:marTop w:val="0"/>
      <w:marBottom w:val="0"/>
      <w:divBdr>
        <w:top w:val="none" w:sz="0" w:space="0" w:color="auto"/>
        <w:left w:val="none" w:sz="0" w:space="0" w:color="auto"/>
        <w:bottom w:val="none" w:sz="0" w:space="0" w:color="auto"/>
        <w:right w:val="none" w:sz="0" w:space="0" w:color="auto"/>
      </w:divBdr>
    </w:div>
    <w:div w:id="13783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5</cp:revision>
  <dcterms:created xsi:type="dcterms:W3CDTF">2018-08-30T11:55:00Z</dcterms:created>
  <dcterms:modified xsi:type="dcterms:W3CDTF">2018-08-31T15:38:00Z</dcterms:modified>
</cp:coreProperties>
</file>