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80BEA">
      <w:pPr>
        <w:pStyle w:val="printredaction-line"/>
        <w:divId w:val="665669793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280BEA">
      <w:pPr>
        <w:divId w:val="928319182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22.06.2015 № 385</w:t>
      </w:r>
    </w:p>
    <w:p w:rsidR="00000000" w:rsidRDefault="00280BEA">
      <w:pPr>
        <w:pStyle w:val="1"/>
        <w:divId w:val="665669793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"Оценка нематериальных активов и интеллектуальной собственности (ФСО № 11)"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</w:t>
      </w:r>
      <w:r>
        <w:rPr>
          <w:rFonts w:ascii="Georgia" w:hAnsi="Georgia"/>
        </w:rPr>
        <w:t>3; 2006, № 31, ст.3456; 2010, № 30, ст.3998; 2011, № 1, ст.43, № 29, ст.4291; 2014, № 30, ст.4226)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83788/XA00LUO2M6/" w:tgtFrame="_self" w:history="1">
        <w:r>
          <w:rPr>
            <w:rStyle w:val="a4"/>
            <w:rFonts w:ascii="Georgia" w:hAnsi="Georgia"/>
          </w:rPr>
          <w:t>Федеральный стандарт оценки "О</w:t>
        </w:r>
        <w:r>
          <w:rPr>
            <w:rStyle w:val="a4"/>
            <w:rFonts w:ascii="Georgia" w:hAnsi="Georgia"/>
          </w:rPr>
          <w:t>ценка нематериальных активов и интеллектуальной собственности (ФСО № 11)"</w:t>
        </w:r>
      </w:hyperlink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2. Настоящий приказ вступает в силу со дня вступления в силу </w:t>
      </w:r>
      <w:hyperlink r:id="rId7" w:anchor="/document/99/420276013/" w:history="1">
        <w:r>
          <w:rPr>
            <w:rStyle w:val="a4"/>
            <w:rFonts w:ascii="Georgia" w:hAnsi="Georgia"/>
          </w:rPr>
          <w:t xml:space="preserve">приказов Минэкономразвития России от 20 мая 2015 года </w:t>
        </w:r>
        <w:r>
          <w:rPr>
            <w:rStyle w:val="a4"/>
            <w:rFonts w:ascii="Georgia" w:hAnsi="Georgia"/>
          </w:rPr>
          <w:t>№ 297 "Об утверждении Федерального стандарта оценки "Общие понятия оценки, подходы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8" w:anchor="/document/99/420276012/" w:history="1">
        <w:r>
          <w:rPr>
            <w:rStyle w:val="a4"/>
            <w:rFonts w:ascii="Georgia" w:hAnsi="Georgia"/>
          </w:rPr>
          <w:t>от 20 мая 2015 года № 298 "Об утверждении Федерального стандар</w:t>
        </w:r>
        <w:r>
          <w:rPr>
            <w:rStyle w:val="a4"/>
            <w:rFonts w:ascii="Georgia" w:hAnsi="Georgia"/>
          </w:rPr>
          <w:t>та оценки "Цель оценки и виды стоимости (ФСО № 2)"</w:t>
        </w:r>
      </w:hyperlink>
      <w:r>
        <w:rPr>
          <w:rFonts w:ascii="Georgia" w:hAnsi="Georgia"/>
        </w:rPr>
        <w:t xml:space="preserve">, </w:t>
      </w:r>
      <w:hyperlink r:id="rId9" w:anchor="/document/99/420276011/" w:history="1">
        <w:r>
          <w:rPr>
            <w:rStyle w:val="a4"/>
            <w:rFonts w:ascii="Georgia" w:hAnsi="Georgia"/>
          </w:rPr>
          <w:t>от 20 мая 2015 года № 299 "Об утверждении Федерального стандарта оценки "Требования к отчету об оценке (ФСО № 3)"</w:t>
        </w:r>
      </w:hyperlink>
      <w:r>
        <w:rPr>
          <w:rFonts w:ascii="Georgia" w:hAnsi="Georgia"/>
        </w:rPr>
        <w:t>.</w:t>
      </w:r>
    </w:p>
    <w:p w:rsidR="00000000" w:rsidRDefault="00280BEA">
      <w:pPr>
        <w:spacing w:after="223"/>
        <w:divId w:val="533539339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280BEA">
      <w:pPr>
        <w:spacing w:after="223"/>
        <w:jc w:val="right"/>
        <w:divId w:val="1048728699"/>
        <w:rPr>
          <w:rFonts w:ascii="Georgia" w:hAnsi="Georgia"/>
        </w:rPr>
      </w:pPr>
      <w:r>
        <w:rPr>
          <w:rFonts w:ascii="Georgia" w:hAnsi="Georgia"/>
        </w:rPr>
        <w:t>УТ</w:t>
      </w:r>
      <w:r>
        <w:rPr>
          <w:rFonts w:ascii="Georgia" w:hAnsi="Georgia"/>
        </w:rPr>
        <w:t>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22 июня 2015 года № 385</w:t>
      </w:r>
      <w:r>
        <w:rPr>
          <w:rFonts w:ascii="Georgia" w:hAnsi="Georgia"/>
        </w:rPr>
        <w:t xml:space="preserve"> </w:t>
      </w:r>
    </w:p>
    <w:p w:rsidR="00000000" w:rsidRDefault="00280BEA">
      <w:pPr>
        <w:divId w:val="214704287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"Оценка нематериальных активов и интеллектуальной собственности (ФСО № 11)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280BEA">
      <w:pPr>
        <w:divId w:val="71080975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1. Настоящий Федеральный стандарт оценки разработан с учетом ме</w:t>
      </w:r>
      <w:r>
        <w:rPr>
          <w:rFonts w:ascii="Georgia" w:hAnsi="Georgia"/>
        </w:rPr>
        <w:t>ждународных стандартов оценки и федеральных стандартов оценки "Общие понятия оценки, подходы и требования к проведению оценки (</w:t>
      </w:r>
      <w:hyperlink r:id="rId10" w:anchor="/document/99/420276011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>)", "Цель оценки и виды стоимости (</w:t>
      </w:r>
      <w:hyperlink r:id="rId11" w:anchor="/document/99/420276012/XA00LUO2M6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>)", "Требования к отчету об оценке (</w:t>
      </w:r>
      <w:hyperlink r:id="rId12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 xml:space="preserve">)" (далее соответственно - </w:t>
      </w:r>
      <w:hyperlink r:id="rId13" w:anchor="/document/99/420276011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</w:t>
      </w:r>
      <w:hyperlink r:id="rId14" w:anchor="/document/99/420276012/XA00LUO2M6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15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>), иных федеральных стандартов оцен</w:t>
      </w:r>
      <w:r>
        <w:rPr>
          <w:rFonts w:ascii="Georgia" w:hAnsi="Georgia"/>
        </w:rPr>
        <w:t xml:space="preserve">ки, регулирующих оценку отдельных видов объектов оценки, утвержденных </w:t>
      </w:r>
      <w:r>
        <w:rPr>
          <w:rFonts w:ascii="Georgia" w:hAnsi="Georgia"/>
        </w:rPr>
        <w:lastRenderedPageBreak/>
        <w:t>Минэкономразвития России, и определяет требования к проведению оценки нематериальных активов и интеллектуальной собственности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2. Положения настоящего Федерального стандарта оценки распр</w:t>
      </w:r>
      <w:r>
        <w:rPr>
          <w:rFonts w:ascii="Georgia" w:hAnsi="Georgia"/>
        </w:rPr>
        <w:t>остраняются на проведение оценки как отдельных нематериальных активов, так и совокупности нематериальных активов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3. При проведении оценки стоимости нематериальных активов и интеллектуальной собственности для случаев бухгалтерского учета, статистического у</w:t>
      </w:r>
      <w:r>
        <w:rPr>
          <w:rFonts w:ascii="Georgia" w:hAnsi="Georgia"/>
        </w:rPr>
        <w:t>чета, финансовой отчетности, проверки полноты исчисления и уплаты налогов оценщик должен также соблюдать требования соответствующих нормативных правовых актов</w:t>
      </w:r>
      <w:r>
        <w:rPr>
          <w:rFonts w:ascii="Georgia" w:hAnsi="Georgia"/>
        </w:rPr>
        <w:t>.</w:t>
      </w:r>
    </w:p>
    <w:p w:rsidR="00000000" w:rsidRDefault="00280BEA">
      <w:pPr>
        <w:divId w:val="169981691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Объекты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4. Для целей настоящего Федерального стандарта оценки объектами оценки могут </w:t>
      </w:r>
      <w:r>
        <w:rPr>
          <w:rFonts w:ascii="Georgia" w:hAnsi="Georgia"/>
        </w:rPr>
        <w:t>выступать нематериальные активы - активы, которые не имеют материально-вещественной формы, проявляют себя своими экономическими свойствами, дают выгоды их собственнику (правообладателю) и генерируют для него доходы (выгоды), в том числе</w:t>
      </w:r>
      <w:r>
        <w:rPr>
          <w:rFonts w:ascii="Georgia" w:hAnsi="Georgia"/>
        </w:rPr>
        <w:t>: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1) исключительные </w:t>
      </w:r>
      <w:r>
        <w:rPr>
          <w:rFonts w:ascii="Georgia" w:hAnsi="Georgia"/>
        </w:rPr>
        <w:t>права на интеллектуальную собственность, а также иные права (право следования, право доступа и другие), относящиеся к интеллектуальной деятельности в производственной, научной, литературной и художественной областях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2) права, составляющие содержание догов</w:t>
      </w:r>
      <w:r>
        <w:rPr>
          <w:rFonts w:ascii="Georgia" w:hAnsi="Georgia"/>
        </w:rPr>
        <w:t>орных обязательств (договоров, соглашений)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3) деловая репутация</w:t>
      </w:r>
      <w:r>
        <w:rPr>
          <w:rFonts w:ascii="Georgia" w:hAnsi="Georgia"/>
        </w:rPr>
        <w:t>.</w:t>
      </w:r>
    </w:p>
    <w:p w:rsidR="00000000" w:rsidRDefault="00280BEA">
      <w:pPr>
        <w:divId w:val="2347918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требования к проведению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5. Для проведения оценки стоимости объекта оценки оценщик осуществляет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рынка объекта оценки и рынка товаров, работ, услуг, производимых и реализуемых с его использованием, а также других внешних факторов, влияющих на его стоимость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состояния экономического положения в стране, отрасли и регионе, а также иных фак</w:t>
      </w:r>
      <w:r>
        <w:rPr>
          <w:rFonts w:ascii="Georgia" w:hAnsi="Georgia"/>
        </w:rPr>
        <w:t>торов, влияющих на рынок объекта оценки и рынка продукции (товаров, работ, услуг), производимой и реализуемой с использованием объекта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идентификацию объекта оценки, включая права, привилегии, иные экономические выгоды, связанные с объектом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текущего использования, прогнозных показателей производства и реализации продукции (товаров, работ, услуг) с использованием объекта оценки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6. Оценщик также при наличии информации осуществляет идентификацию других (не включенных в объект оценки) н</w:t>
      </w:r>
      <w:r>
        <w:rPr>
          <w:rFonts w:ascii="Georgia" w:hAnsi="Georgia"/>
        </w:rPr>
        <w:t>ематериальных активов, если они входят в состав технологической основы производства и реализации продукции с использованием объекта оценки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lastRenderedPageBreak/>
        <w:t>7. Оценщик собирает информацию из различных источников в объеме, достаточном для идентификации объекта оценки. В сос</w:t>
      </w:r>
      <w:r>
        <w:rPr>
          <w:rFonts w:ascii="Georgia" w:hAnsi="Georgia"/>
        </w:rPr>
        <w:t>тав факторов, рассматриваемых в процессе сбора и анализа информации, могут входить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права, привилегии или иные экономические выгоды, связанные с объектом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срок действия исключительного права на интеллектуальную собственность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способность объекта </w:t>
      </w:r>
      <w:r>
        <w:rPr>
          <w:rFonts w:ascii="Georgia" w:hAnsi="Georgia"/>
        </w:rPr>
        <w:t>оценки приносить экономические выгоды и источники этих выгод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состояние и перспективы отрасли, где создан и (или) используется объект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лицензионные договоры или договоры об отчуждении исключительного права на интеллектуальную собственность (при их</w:t>
      </w:r>
      <w:r>
        <w:rPr>
          <w:rFonts w:ascii="Georgia" w:hAnsi="Georgia"/>
        </w:rPr>
        <w:t xml:space="preserve"> наличии)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другие факторы, имеющие непосредственное отношение к объекту оценки</w:t>
      </w:r>
      <w:r>
        <w:rPr>
          <w:rFonts w:ascii="Georgia" w:hAnsi="Georgia"/>
        </w:rPr>
        <w:t>.</w:t>
      </w:r>
    </w:p>
    <w:p w:rsidR="00000000" w:rsidRDefault="00280BEA">
      <w:pPr>
        <w:divId w:val="118471004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Задание на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у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8. Задание на оценку объекта оценки должно содержать следующую дополнительную к указанной в </w:t>
      </w:r>
      <w:hyperlink r:id="rId16" w:anchor="/document/99/420276011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 информацию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режиме предоставленной правовой охраны интеллектуальной собственности, включая объем, сроки, территории правовой охраны, наличие ограничений (обременении) в отношении исключительных прав на интеллектуальную собственно</w:t>
      </w:r>
      <w:r>
        <w:rPr>
          <w:rFonts w:ascii="Georgia" w:hAnsi="Georgia"/>
        </w:rPr>
        <w:t>сть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 объеме прав на интеллектуальную собственность, подлежащих оценке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 совокупности объектов (или единой технологии, или сопутствующих активах), в состав которой входит объект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задании на оценку могут быть указаны иные сведения, позволяющи</w:t>
      </w:r>
      <w:r>
        <w:rPr>
          <w:rFonts w:ascii="Georgia" w:hAnsi="Georgia"/>
        </w:rPr>
        <w:t>е однозначно идентифицировать и раскрыть характеристики объекта оценки и провести оценку его стоимости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9. В задании на оценку могут быть указаны иные расчетные величины, в том числе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расчетная величина лицензионного вознаграждения (далее - роялти)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убыт</w:t>
      </w:r>
      <w:r>
        <w:rPr>
          <w:rFonts w:ascii="Georgia" w:hAnsi="Georgia"/>
        </w:rPr>
        <w:t>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расчетная величина авторского вознаграждения</w:t>
      </w:r>
      <w:r>
        <w:rPr>
          <w:rFonts w:ascii="Georgia" w:hAnsi="Georgia"/>
        </w:rPr>
        <w:t>.</w:t>
      </w:r>
    </w:p>
    <w:p w:rsidR="00000000" w:rsidRDefault="00280BEA">
      <w:pPr>
        <w:divId w:val="170159212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Анализ рынк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10. Для определения стоимости объекта оценки оценщик исследует рынок в тех его сегментах, к которым относятся создание и использование оцениваемого объекта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Анализ рынка объекта оценки вып</w:t>
      </w:r>
      <w:r>
        <w:rPr>
          <w:rFonts w:ascii="Georgia" w:hAnsi="Georgia"/>
        </w:rPr>
        <w:t>олняется в следующей последовательности</w:t>
      </w:r>
      <w:r>
        <w:rPr>
          <w:rFonts w:ascii="Georgia" w:hAnsi="Georgia"/>
        </w:rPr>
        <w:t>: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а) анализ влияния макроэкономических факторов, в том числе тенденций, наметившихся на рынке, в период, предшествующий дате оценки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б) определение и анализ сегмента рынка, к которому принадлежит оцениваемый объект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создания и предоставления правовой охраны аналогичным объектам интеллектуальной собственности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текущего состояния, перспектив и тенденций развития отрасли, к которой относится объект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сделок (лицензионных договоров и договоров</w:t>
      </w:r>
      <w:r>
        <w:rPr>
          <w:rFonts w:ascii="Georgia" w:hAnsi="Georgia"/>
        </w:rPr>
        <w:t xml:space="preserve"> об отчуждении исключительного права) с объектом оценки либо объектом-аналогом (при наличии)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анализ сделок, связанных с объединением бизнеса, имеющего идентичные или аналогичные нематериальные активы (при наличии)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в) анализ основных факторов, влияющих н</w:t>
      </w:r>
      <w:r>
        <w:rPr>
          <w:rFonts w:ascii="Georgia" w:hAnsi="Georgia"/>
        </w:rPr>
        <w:t>а спрос, предложение и цены сопоставимых с объектом оценки объектов. В числе основных факторов, подлежащих анализу, могут быть рассмотрены: тенденция изменения количества объектов, сопоставимых с объектом оценки; тенденция изменения лицензионных договоров;</w:t>
      </w:r>
      <w:r>
        <w:rPr>
          <w:rFonts w:ascii="Georgia" w:hAnsi="Georgia"/>
        </w:rPr>
        <w:t xml:space="preserve"> ставки роялти; тенденция импорта и экспорта технологий, аналогичных объекту оценки; иные факторы, влияющие на конкуренцию и ценообразование на рынке технологий или объектов авторского и (или) смежного права, или средств индивидуализации и других объектов </w:t>
      </w:r>
      <w:r>
        <w:rPr>
          <w:rFonts w:ascii="Georgia" w:hAnsi="Georgia"/>
        </w:rPr>
        <w:t>интеллектуальной собственности и нематериальных активов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г) основные выводы относительно рынка создания и использования объекта оценки, а также рынка продукции (товаров, работ, услуг), производимой и реализуемой с использованием объекта оценки, необходимые</w:t>
      </w:r>
      <w:r>
        <w:rPr>
          <w:rFonts w:ascii="Georgia" w:hAnsi="Georgia"/>
        </w:rPr>
        <w:t xml:space="preserve"> для оценки объекта, например, динамика рынка создания и использования объекта оценки и другие выводы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11. Объем исследований определяется оценщиком самостоятельно</w:t>
      </w:r>
      <w:r>
        <w:rPr>
          <w:rFonts w:ascii="Georgia" w:hAnsi="Georgia"/>
        </w:rPr>
        <w:t>.</w:t>
      </w:r>
    </w:p>
    <w:p w:rsidR="00000000" w:rsidRDefault="00280BEA">
      <w:pPr>
        <w:divId w:val="44774256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Подходы к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12. Доходный подход предусматривает дисконтирование денежных потоков (</w:t>
      </w:r>
      <w:r>
        <w:rPr>
          <w:rFonts w:ascii="Georgia" w:hAnsi="Georgia"/>
        </w:rPr>
        <w:t xml:space="preserve">будущих экономических выгод), генерируемых объектом оценки, или капитализацию годового чистого дохода (выгоды, эффект) от объекта оценки, включая доходы от возможного возмездного предоставления другим лицам доступа к экономическим выгодам от использования </w:t>
      </w:r>
      <w:r>
        <w:rPr>
          <w:rFonts w:ascii="Georgia" w:hAnsi="Georgia"/>
        </w:rPr>
        <w:t>объекта оценки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13. При применении доходного подхода оценщик учитывает следующие положения</w:t>
      </w:r>
      <w:r>
        <w:rPr>
          <w:rFonts w:ascii="Georgia" w:hAnsi="Georgia"/>
        </w:rPr>
        <w:t>: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а) оценщик определяет будущие денежные потоки, формируемые из экономической выгоды, генерируемой объектом оценки. В общем случае выгода может образовываться из экон</w:t>
      </w:r>
      <w:r>
        <w:rPr>
          <w:rFonts w:ascii="Georgia" w:hAnsi="Georgia"/>
        </w:rPr>
        <w:t xml:space="preserve">омии на издержках, освобождения от роялти, </w:t>
      </w:r>
      <w:r>
        <w:rPr>
          <w:rFonts w:ascii="Georgia" w:hAnsi="Georgia"/>
        </w:rPr>
        <w:lastRenderedPageBreak/>
        <w:t>преимуществ в прибыли, реальных лицензионных платежей, платежей по роялти, избыточного дохода или других выгод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б) период, в течение которого объект оценки способен приносить экономические выгоды, как правило, огр</w:t>
      </w:r>
      <w:r>
        <w:rPr>
          <w:rFonts w:ascii="Georgia" w:hAnsi="Georgia"/>
        </w:rPr>
        <w:t>аничивается сроком действия правовой охраны или сроком действия лицензионного договора. Продолжительность срока полезного использования объекта оценки может быть сокращена исходя из экономической нецелесообразности дальнейшего его использования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в) ставка </w:t>
      </w:r>
      <w:r>
        <w:rPr>
          <w:rFonts w:ascii="Georgia" w:hAnsi="Georgia"/>
        </w:rPr>
        <w:t>дисконтирования рассчитывается одним из следующих методов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- на основе анализа рыночных показателей, отражающих доходность аналогичных объекту оценки объектов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на основе средневзвешенной стоимости капитала организации (бизнеса), использующей объект оценк</w:t>
      </w:r>
      <w:r>
        <w:rPr>
          <w:rFonts w:ascii="Georgia" w:hAnsi="Georgia"/>
        </w:rPr>
        <w:t>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- кумулятивным способом, основанным на определении безрисковой ставки использования денежных средств, ожидаемого уровня инфляции и размера премиальной надбавки за риски, связанные с инвестицией в объект оценки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г) ставка капитализации может использоват</w:t>
      </w:r>
      <w:r>
        <w:rPr>
          <w:rFonts w:ascii="Georgia" w:hAnsi="Georgia"/>
        </w:rPr>
        <w:t>ься при применении оценочных коэффициентов, таких как мультипликаторы "цена/прибыль", или при корректировке ставки дисконтирования с целью отражения любого будущего роста денежного потока от использования объекта оценки в постпрогнозном периоде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д) в допол</w:t>
      </w:r>
      <w:r>
        <w:rPr>
          <w:rFonts w:ascii="Georgia" w:hAnsi="Georgia"/>
        </w:rPr>
        <w:t>нение к капитализации дохода от использования нематериального актива необходимо учитывать любые доступные для правообладателя объекта оценки налоговые выгоды и преимущества, включая эффекты от амортизации оцениваемого нематериального актива, соответствующи</w:t>
      </w:r>
      <w:r>
        <w:rPr>
          <w:rFonts w:ascii="Georgia" w:hAnsi="Georgia"/>
        </w:rPr>
        <w:t>е нормам действующего законодательства, и ввести в денежные потоки соответствующие корректировки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14. Стоимость бизнесобразующих нематериальных активов, которые создают прибыль в комплексе с другими активами бизнеса (например, сложный объект, единая технол</w:t>
      </w:r>
      <w:r>
        <w:rPr>
          <w:rFonts w:ascii="Georgia" w:hAnsi="Georgia"/>
        </w:rPr>
        <w:t>огия, лицензия на осуществление вида деятельности, проекты научно-исследовательских работ, опытно-конструкторских и технологических работ, лицензии на пользование недрами и другие аналогичные нематериальные активы) может оцениваться в составе всего бизнеса</w:t>
      </w:r>
      <w:r>
        <w:rPr>
          <w:rFonts w:ascii="Georgia" w:hAnsi="Georgia"/>
        </w:rPr>
        <w:t xml:space="preserve"> на основе избыточной прибыли. Для этого вначале формируется денежный поток от всего бизнеса; устанавливаются экономические ренты (выгоды), приходящиеся на сопутствующие (материальные, финансовые, отдельно идентифицированные нематериальные) активы бизнеса,</w:t>
      </w:r>
      <w:r>
        <w:rPr>
          <w:rFonts w:ascii="Georgia" w:hAnsi="Georgia"/>
        </w:rPr>
        <w:t xml:space="preserve"> не входящие в объект оценки; из денежного потока от всего бизнеса вычитаются те доли денежных потоков, которые относятся к сопутствующим активам. Результат представляет собой избыточную прибыль, приписываемую оцениваемому нематериальному активу. Стоимость</w:t>
      </w:r>
      <w:r>
        <w:rPr>
          <w:rFonts w:ascii="Georgia" w:hAnsi="Georgia"/>
        </w:rPr>
        <w:t xml:space="preserve"> нематериального актива определяется как приведенная стоимость остаточного денежного потока (избыточной прибыли). Денежный поток, создаваемый оцениваемым нематериальным активом, не может превышать денежного потока от всего бизнеса (использующего эти немате</w:t>
      </w:r>
      <w:r>
        <w:rPr>
          <w:rFonts w:ascii="Georgia" w:hAnsi="Georgia"/>
        </w:rPr>
        <w:t>риальные активы) в целом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15. При применении затратного подхода оценщик учитывает следующие положения</w:t>
      </w:r>
      <w:r>
        <w:rPr>
          <w:rFonts w:ascii="Georgia" w:hAnsi="Georgia"/>
        </w:rPr>
        <w:t>: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lastRenderedPageBreak/>
        <w:t>а) затратный подход к оценке объекта оценки целесообразно применять: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оценке стоимости объектов-оценки, созданных самими правообладателями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нед</w:t>
      </w:r>
      <w:r>
        <w:rPr>
          <w:rFonts w:ascii="Georgia" w:hAnsi="Georgia"/>
        </w:rPr>
        <w:t>остаточности данных, необходимых для применения сравнительного и доходного подходов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б) стоимость объекта оценки определяется затратным подходом, когда существует возможность его воссоздания путем определения затрат на его воспроизводство или замещение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в)</w:t>
      </w:r>
      <w:r>
        <w:rPr>
          <w:rFonts w:ascii="Georgia" w:hAnsi="Georgia"/>
        </w:rPr>
        <w:t xml:space="preserve"> входные переменные, которые учитываются при применении затратного подхода к оценке нематериальных активов, включают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затраты на разработку или приобретение идентичного объекта или объекта с аналогичными полезными свойствами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любые корректировки затрат н</w:t>
      </w:r>
      <w:r>
        <w:rPr>
          <w:rFonts w:ascii="Georgia" w:hAnsi="Georgia"/>
        </w:rPr>
        <w:t>а разработку или приобретение, необходимые для отражения специфических характеристик объекта оценки, в том числе его функционального и экономического устареваний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экономическая выгода разработчика объекта оценки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г) затраты на разработку объекта оценки мо</w:t>
      </w:r>
      <w:r>
        <w:rPr>
          <w:rFonts w:ascii="Georgia" w:hAnsi="Georgia"/>
        </w:rPr>
        <w:t>гут включать расходы по оплате труда и иные виды вознаграждения, оплату материалов, накладных расходов, а также юридические издержки по правовой охране, налоги, предпринимательскую прибыль в период разработки объекта оценки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д) в случае использования истор</w:t>
      </w:r>
      <w:r>
        <w:rPr>
          <w:rFonts w:ascii="Georgia" w:hAnsi="Georgia"/>
        </w:rPr>
        <w:t>ических (первоначальных) затрат на создание объекта оценки необходимо будет привести их к текущей дате с помощью наиболее подходящего индекса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е) при определении затрат на воспроизводство объекта оценки оценщик определяет стоимость воссоздания новой точной</w:t>
      </w:r>
      <w:r>
        <w:rPr>
          <w:rFonts w:ascii="Georgia" w:hAnsi="Georgia"/>
        </w:rPr>
        <w:t xml:space="preserve"> копии объекта оценки. Затраты в этом случае определяются исходя из действующих на дату оценки цен на услуги с использованием знаний, опыта и навыков авторов-разработчиков (при наличии) объекта оценки</w:t>
      </w:r>
      <w:r>
        <w:rPr>
          <w:rFonts w:ascii="Georgia" w:hAnsi="Georgia"/>
        </w:rPr>
        <w:t>;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ж) при определении затрат на создание объекта, имеющег</w:t>
      </w:r>
      <w:r>
        <w:rPr>
          <w:rFonts w:ascii="Georgia" w:hAnsi="Georgia"/>
        </w:rPr>
        <w:t>о аналогичные полезные свойства, оценщик определяет стоимость создания объекта оценки той же полезности, являющегося аналогом объекта оценки по функциональному назначению и вариантам использования. В этом случае затраты должны быть определены на основе дей</w:t>
      </w:r>
      <w:r>
        <w:rPr>
          <w:rFonts w:ascii="Georgia" w:hAnsi="Georgia"/>
        </w:rPr>
        <w:t>ствующих на дату оценки цен на сырье, товары, услуги, энергоносители и стоимости рабочей силы в том регионе и (или) в той отрасли экономики, в которых создаются объекты, аналогичные объекту оценки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16. При применении сравнительного подхода к оценке объекто</w:t>
      </w:r>
      <w:r>
        <w:rPr>
          <w:rFonts w:ascii="Georgia" w:hAnsi="Georgia"/>
        </w:rPr>
        <w:t>в оценки стоимость определяется оценщиком с использованием следующей информации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 условиях сделок, а также о предложениях на продажу и покупку объектов-аналогов на рынке по состоянию на дату оценки или по состоянию на дату, предшествующую дате оценки, е</w:t>
      </w:r>
      <w:r>
        <w:rPr>
          <w:rFonts w:ascii="Georgia" w:hAnsi="Georgia"/>
        </w:rPr>
        <w:t>сли по состоянию на дату оценки такая информация доступна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о влиянии ценообразующих факторов объектов-аналогов на их рыночную стоимость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Определение влияния ценообразующих факторов объектов-аналогов на их рыночную стоимость может проводиться с применение</w:t>
      </w:r>
      <w:r>
        <w:rPr>
          <w:rFonts w:ascii="Georgia" w:hAnsi="Georgia"/>
        </w:rPr>
        <w:t>м ценовых мультипликаторов - расчетных величин, отражающих соотношение между стоимостью объекта-аналога и его ценообразующим параметром при условии доказанной значимости последнего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В ряде случаев цены предложений объектов-аналогов могут быть обоснованно </w:t>
      </w:r>
      <w:r>
        <w:rPr>
          <w:rFonts w:ascii="Georgia" w:hAnsi="Georgia"/>
        </w:rPr>
        <w:t>скорректированы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Для сравнения объекта оценки с другими объектами, с которыми были совершены сделки или которые представлены на рынке для их совершения, обычно используются следующие элементы сравнения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режим предоставленной правовой охраны, включая пере</w:t>
      </w:r>
      <w:r>
        <w:rPr>
          <w:rFonts w:ascii="Georgia" w:hAnsi="Georgia"/>
        </w:rPr>
        <w:t>данные права и сроки использования интеллектуальной собственности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условия финансирования сделок с нематериальными активами, включая соотношение собственных и заемных средств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изменение цен на нематериальные активы за период с даты совершения сделки с об</w:t>
      </w:r>
      <w:r>
        <w:rPr>
          <w:rFonts w:ascii="Georgia" w:hAnsi="Georgia"/>
        </w:rPr>
        <w:t>ъектом-аналогом до даты проведения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отрасль, в которой были или будут использованы нематериальные активы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территория, на которую распространяется действие предоставляемых (оцениваемых) прав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функциональные, технологические, экономические характер</w:t>
      </w:r>
      <w:r>
        <w:rPr>
          <w:rFonts w:ascii="Georgia" w:hAnsi="Georgia"/>
        </w:rPr>
        <w:t>истики выбранных объектов-аналогов, аналогичные соответствующим характеристикам объекта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спрос на продукцию, которая может производиться или реализовываться с использованием объекта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срок использования объекта оценки, в течение которого объ</w:t>
      </w:r>
      <w:r>
        <w:rPr>
          <w:rFonts w:ascii="Georgia" w:hAnsi="Georgia"/>
        </w:rPr>
        <w:t>ект оценки способен приносить экономические выгоды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другие характеристики нематериального актива, влияющие на стоимость</w:t>
      </w:r>
      <w:r>
        <w:rPr>
          <w:rFonts w:ascii="Georgia" w:hAnsi="Georgia"/>
        </w:rPr>
        <w:t>.</w:t>
      </w:r>
    </w:p>
    <w:p w:rsidR="00000000" w:rsidRDefault="00280BEA">
      <w:pPr>
        <w:divId w:val="140006023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Особенности оценки деловой репутаци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>17. Для целей оценки при определении стоимости положительной деловой репутации (гудвилл) опр</w:t>
      </w:r>
      <w:r>
        <w:rPr>
          <w:rFonts w:ascii="Georgia" w:hAnsi="Georgia"/>
        </w:rPr>
        <w:t>еделяется любая будущая экономическая выгода, генерируемая бизнесом или активами, которые неотделимы от данного бизнеса или групп активов, входящих в его состав. Примерами таких выгод может быть увеличение эффективности, возникающее в результате объединени</w:t>
      </w:r>
      <w:r>
        <w:rPr>
          <w:rFonts w:ascii="Georgia" w:hAnsi="Georgia"/>
        </w:rPr>
        <w:t>я бизнесов (снижение операционных затрат и экономии от масштаба, не отраженные в стоимости других активов), организационный капитал (например, выгоды, возникающие благодаря созданной сети или возможности выхода на новые рынки и тому подобное)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lastRenderedPageBreak/>
        <w:t>18. Стоимост</w:t>
      </w:r>
      <w:r>
        <w:rPr>
          <w:rFonts w:ascii="Georgia" w:hAnsi="Georgia"/>
        </w:rPr>
        <w:t>ь деловой репутации представляет собой сумму, остающуюся после вычитания из стоимости (цены покупки) организации стоимости всех идентифицируемых материальных активов, в том числе денежных, и нематериальных активов, скорректированной с учетом фактических ил</w:t>
      </w:r>
      <w:r>
        <w:rPr>
          <w:rFonts w:ascii="Georgia" w:hAnsi="Georgia"/>
        </w:rPr>
        <w:t>и потенциальных обязательств</w:t>
      </w:r>
      <w:r>
        <w:rPr>
          <w:rFonts w:ascii="Georgia" w:hAnsi="Georgia"/>
        </w:rPr>
        <w:t>.</w:t>
      </w:r>
    </w:p>
    <w:p w:rsidR="00000000" w:rsidRDefault="00280BEA">
      <w:pPr>
        <w:divId w:val="185541236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Согласование результатов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19. Согласование результатов оценки объекта оценки, полученных с использованием различных методов и подходов к оценке, осуществляется в соответствии с требованиями </w:t>
      </w:r>
      <w:hyperlink r:id="rId17" w:anchor="/document/99/420276011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>.</w:t>
      </w:r>
    </w:p>
    <w:p w:rsidR="00000000" w:rsidRDefault="00280BEA">
      <w:pPr>
        <w:divId w:val="147117124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Заключительные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t xml:space="preserve">20. В случае расхождений между требованиями настоящего Федерального стандарта оценки с требованиями </w:t>
      </w:r>
      <w:hyperlink r:id="rId18" w:anchor="/document/99/420276011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</w:t>
      </w:r>
      <w:hyperlink r:id="rId19" w:anchor="/document/99/420276012/XA00LUO2M6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20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 xml:space="preserve"> и других федеральных стандартов оценки, регулирующих оценку отде</w:t>
      </w:r>
      <w:r>
        <w:rPr>
          <w:rFonts w:ascii="Georgia" w:hAnsi="Georgia"/>
        </w:rPr>
        <w:t>льных видов объектов оценки, утвержденных Минэкономразвития России, приоритет имеет настоящий Федеральный стандарт</w:t>
      </w:r>
      <w:r>
        <w:rPr>
          <w:rFonts w:ascii="Georgia" w:hAnsi="Georgia"/>
        </w:rPr>
        <w:t>.</w:t>
      </w:r>
    </w:p>
    <w:p w:rsidR="00000000" w:rsidRDefault="00280BEA">
      <w:pPr>
        <w:spacing w:after="223"/>
        <w:divId w:val="1048728699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280BEA" w:rsidRDefault="00280BEA">
      <w:pPr>
        <w:divId w:val="310770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28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91529"/>
    <w:rsid w:val="00280BEA"/>
    <w:rsid w:val="00E9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66979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869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339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287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975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1691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918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1004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212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256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6023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236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124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70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hyperlink" Target="https://www.1jur.ru/" TargetMode="External"/><Relationship Id="rId1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1jur.ru/" TargetMode="External"/><Relationship Id="rId12" Type="http://schemas.openxmlformats.org/officeDocument/2006/relationships/hyperlink" Target="https://www.1jur.ru/" TargetMode="External"/><Relationship Id="rId1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1jur.ru/" TargetMode="External"/><Relationship Id="rId20" Type="http://schemas.openxmlformats.org/officeDocument/2006/relationships/hyperlink" Target="https://www.1ju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5" Type="http://schemas.openxmlformats.org/officeDocument/2006/relationships/hyperlink" Target="https://www.1jur.ru/" TargetMode="External"/><Relationship Id="rId10" Type="http://schemas.openxmlformats.org/officeDocument/2006/relationships/hyperlink" Target="https://www.1jur.ru/" TargetMode="External"/><Relationship Id="rId19" Type="http://schemas.openxmlformats.org/officeDocument/2006/relationships/hyperlink" Target="https://www.1ju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Relationship Id="rId14" Type="http://schemas.openxmlformats.org/officeDocument/2006/relationships/hyperlink" Target="https://www.1ju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2690</Words>
  <Characters>15335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2016-03-10T13:12:00Z</dcterms:created>
  <dcterms:modified xsi:type="dcterms:W3CDTF">2016-03-10T13:12:00Z</dcterms:modified>
</cp:coreProperties>
</file>