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B9" w:rsidRDefault="006C14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6746"/>
      </w:tblGrid>
      <w:tr w:rsidR="0064151B" w:rsidTr="008E10AF">
        <w:trPr>
          <w:cantSplit/>
        </w:trPr>
        <w:tc>
          <w:tcPr>
            <w:tcW w:w="10682" w:type="dxa"/>
            <w:gridSpan w:val="2"/>
          </w:tcPr>
          <w:p w:rsidR="0064151B" w:rsidRPr="009B6A8C" w:rsidRDefault="0064151B" w:rsidP="0064151B">
            <w:pPr>
              <w:pStyle w:val="a4"/>
              <w:numPr>
                <w:ilvl w:val="0"/>
                <w:numId w:val="4"/>
              </w:numPr>
              <w:rPr>
                <w:b/>
              </w:rPr>
            </w:pPr>
            <w:r w:rsidRPr="009B6A8C">
              <w:rPr>
                <w:b/>
              </w:rPr>
              <w:t>Случаи обязательной оценки стоимости</w:t>
            </w:r>
          </w:p>
        </w:tc>
      </w:tr>
      <w:tr w:rsidR="0064151B" w:rsidTr="008E10AF">
        <w:trPr>
          <w:cantSplit/>
        </w:trPr>
        <w:tc>
          <w:tcPr>
            <w:tcW w:w="3936" w:type="dxa"/>
          </w:tcPr>
          <w:p w:rsidR="0064151B" w:rsidRDefault="0064151B" w:rsidP="00661F63">
            <w:pPr>
              <w:ind w:firstLine="0"/>
            </w:pPr>
            <w:r>
              <w:t>Ссылка на нормативно-правовой акт</w:t>
            </w:r>
          </w:p>
        </w:tc>
        <w:tc>
          <w:tcPr>
            <w:tcW w:w="6746" w:type="dxa"/>
          </w:tcPr>
          <w:p w:rsidR="0064151B" w:rsidRDefault="0064151B">
            <w:pPr>
              <w:ind w:firstLine="0"/>
            </w:pPr>
            <w:r>
              <w:t>Цитата нормативно правового акта</w:t>
            </w:r>
            <w:r w:rsidR="00DA6756">
              <w:t xml:space="preserve"> </w:t>
            </w:r>
            <w:r w:rsidR="008E10AF">
              <w:t>(может быть сокращена)</w:t>
            </w:r>
          </w:p>
        </w:tc>
      </w:tr>
      <w:tr w:rsidR="0064151B" w:rsidTr="008E10AF">
        <w:trPr>
          <w:cantSplit/>
        </w:trPr>
        <w:tc>
          <w:tcPr>
            <w:tcW w:w="10682" w:type="dxa"/>
            <w:gridSpan w:val="2"/>
          </w:tcPr>
          <w:p w:rsidR="0064151B" w:rsidRPr="0064151B" w:rsidRDefault="0064151B" w:rsidP="0064151B">
            <w:pPr>
              <w:pStyle w:val="a4"/>
              <w:numPr>
                <w:ilvl w:val="0"/>
                <w:numId w:val="2"/>
              </w:numPr>
              <w:rPr>
                <w:rFonts w:cs="Times New Roman"/>
              </w:rPr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участия в сделках государственного или муниципального имущества</w:t>
            </w:r>
          </w:p>
        </w:tc>
      </w:tr>
      <w:tr w:rsidR="0064151B" w:rsidTr="008E10AF">
        <w:tc>
          <w:tcPr>
            <w:tcW w:w="3936" w:type="dxa"/>
          </w:tcPr>
          <w:p w:rsidR="0064151B" w:rsidRDefault="0064151B" w:rsidP="00661F63">
            <w:pPr>
              <w:ind w:firstLine="0"/>
            </w:pPr>
            <w:r>
              <w:t xml:space="preserve">Федеральный закон от </w:t>
            </w:r>
            <w:r w:rsidRPr="00CA6B0E">
              <w:rPr>
                <w:szCs w:val="28"/>
              </w:rPr>
              <w:t>29.07.1998</w:t>
            </w:r>
            <w:r>
              <w:rPr>
                <w:szCs w:val="28"/>
              </w:rPr>
              <w:t xml:space="preserve"> года</w:t>
            </w:r>
            <w:r w:rsidRPr="00CA6B0E">
              <w:rPr>
                <w:szCs w:val="28"/>
              </w:rPr>
              <w:t xml:space="preserve"> N 135-ФЗ «Об оценочной деятельности в Российской Федерации»</w:t>
            </w:r>
            <w:r>
              <w:rPr>
                <w:szCs w:val="28"/>
              </w:rPr>
              <w:t xml:space="preserve">, </w:t>
            </w:r>
            <w:r w:rsidR="009B6A8C">
              <w:rPr>
                <w:szCs w:val="28"/>
              </w:rPr>
              <w:t xml:space="preserve">глава 1, </w:t>
            </w:r>
            <w:r>
              <w:rPr>
                <w:szCs w:val="28"/>
              </w:rPr>
              <w:t>статья 8</w:t>
            </w:r>
          </w:p>
        </w:tc>
        <w:tc>
          <w:tcPr>
            <w:tcW w:w="6746" w:type="dxa"/>
          </w:tcPr>
          <w:p w:rsidR="00731042" w:rsidRDefault="0064151B" w:rsidP="000D7C4A">
            <w:p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>Проведение оценки объектов оценки является обязательным в случае вовлечения в сделку объектов оценки, принадлежащих полностью или частично Российской Федерации, субъектам</w:t>
            </w:r>
            <w:r w:rsidR="008E10AF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РФ</w:t>
            </w: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 либо муниципальным образованиям, в том числе: </w:t>
            </w:r>
          </w:p>
          <w:p w:rsidR="00731042" w:rsidRDefault="0064151B" w:rsidP="00731042">
            <w:pPr>
              <w:pStyle w:val="a4"/>
              <w:numPr>
                <w:ilvl w:val="0"/>
                <w:numId w:val="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при использовании в качестве залога; </w:t>
            </w:r>
          </w:p>
          <w:p w:rsidR="00731042" w:rsidRDefault="0064151B" w:rsidP="00731042">
            <w:pPr>
              <w:pStyle w:val="a4"/>
              <w:numPr>
                <w:ilvl w:val="0"/>
                <w:numId w:val="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при передаче в доверительное управление; </w:t>
            </w:r>
          </w:p>
          <w:p w:rsidR="00731042" w:rsidRDefault="0064151B" w:rsidP="00731042">
            <w:pPr>
              <w:pStyle w:val="a4"/>
              <w:numPr>
                <w:ilvl w:val="0"/>
                <w:numId w:val="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при переуступке долговых обязательств, связанных с объектов оценки; </w:t>
            </w:r>
          </w:p>
          <w:p w:rsidR="00731042" w:rsidRPr="00731042" w:rsidRDefault="0064151B" w:rsidP="00731042">
            <w:pPr>
              <w:pStyle w:val="a4"/>
              <w:numPr>
                <w:ilvl w:val="0"/>
                <w:numId w:val="7"/>
              </w:numPr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>при передаче объектов оценки в качестве вклада в уставные капиталы, фонды</w:t>
            </w:r>
            <w:r w:rsidR="00731042"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</w:p>
          <w:p w:rsidR="00731042" w:rsidRPr="00731042" w:rsidRDefault="00DA6756" w:rsidP="00661F63">
            <w:pPr>
              <w:ind w:firstLine="0"/>
              <w:rPr>
                <w:rFonts w:cs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За исключением отношений, возникающих</w:t>
            </w:r>
            <w:r w:rsidR="00731042" w:rsidRPr="00731042">
              <w:rPr>
                <w:rFonts w:cs="Times New Roman"/>
                <w:color w:val="000000"/>
                <w:szCs w:val="28"/>
                <w:shd w:val="clear" w:color="auto" w:fill="FFFFFF"/>
              </w:rPr>
              <w:t>:</w:t>
            </w:r>
          </w:p>
          <w:p w:rsidR="00731042" w:rsidRPr="00731042" w:rsidRDefault="00731042" w:rsidP="00731042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>при распоряжении унитарными предприятиями, государственными и муниципальными учреждениями имуществом, закрепленным за ними в хозяйственном ведении или оперативном управлении;</w:t>
            </w:r>
          </w:p>
          <w:p w:rsidR="00731042" w:rsidRDefault="00731042" w:rsidP="00731042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>в случае распоряжения имуществом при реорганизации унитарных предприятий, государственных и муниципальных учреждений;</w:t>
            </w:r>
          </w:p>
          <w:p w:rsidR="00731042" w:rsidRDefault="00731042" w:rsidP="00731042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 </w:t>
            </w:r>
            <w:r w:rsidRPr="00731042">
              <w:rPr>
                <w:rFonts w:eastAsia="Times New Roman" w:cs="Times New Roman"/>
                <w:szCs w:val="28"/>
                <w:lang w:eastAsia="ru-RU"/>
              </w:rPr>
              <w:t xml:space="preserve">случаях, установленных </w:t>
            </w:r>
            <w:r>
              <w:rPr>
                <w:rFonts w:eastAsia="Times New Roman" w:cs="Times New Roman"/>
                <w:szCs w:val="28"/>
                <w:lang w:eastAsia="ru-RU"/>
              </w:rPr>
              <w:t>ф</w:t>
            </w:r>
            <w:r w:rsidRPr="00731042">
              <w:rPr>
                <w:rFonts w:eastAsia="Times New Roman" w:cs="Times New Roman"/>
                <w:szCs w:val="28"/>
                <w:lang w:eastAsia="ru-RU"/>
              </w:rPr>
              <w:t>едеральным</w:t>
            </w:r>
            <w:r w:rsidR="008E10AF">
              <w:rPr>
                <w:rFonts w:eastAsia="Times New Roman" w:cs="Times New Roman"/>
                <w:szCs w:val="28"/>
                <w:lang w:eastAsia="ru-RU"/>
              </w:rPr>
              <w:t>и</w:t>
            </w:r>
            <w:r w:rsidRPr="00731042">
              <w:rPr>
                <w:rFonts w:eastAsia="Times New Roman" w:cs="Times New Roman"/>
                <w:szCs w:val="28"/>
                <w:lang w:eastAsia="ru-RU"/>
              </w:rPr>
              <w:t> закон</w:t>
            </w:r>
            <w:r w:rsidR="008E10AF"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731042">
              <w:rPr>
                <w:rFonts w:eastAsia="Times New Roman" w:cs="Times New Roman"/>
                <w:szCs w:val="28"/>
                <w:lang w:eastAsia="ru-RU"/>
              </w:rPr>
              <w:t>м</w:t>
            </w:r>
            <w:r w:rsidR="008E10AF">
              <w:rPr>
                <w:rFonts w:eastAsia="Times New Roman" w:cs="Times New Roman"/>
                <w:szCs w:val="28"/>
                <w:lang w:eastAsia="ru-RU"/>
              </w:rPr>
              <w:t>и</w:t>
            </w:r>
            <w:r w:rsidRPr="00731042">
              <w:rPr>
                <w:rFonts w:eastAsia="Times New Roman" w:cs="Times New Roman"/>
                <w:szCs w:val="28"/>
                <w:lang w:eastAsia="ru-RU"/>
              </w:rPr>
              <w:t> "Об особенностях управления и распоряжения имуществом железнодорожного транспорта" и "Об особенностях управления и распоряжения имуществом</w:t>
            </w: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Федерации";</w:t>
            </w:r>
          </w:p>
          <w:p w:rsidR="00731042" w:rsidRDefault="00731042" w:rsidP="00731042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 связи с передачей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объектов</w:t>
            </w: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для формирования имущества Федерального фонда содействия развитию жилищного строительства;</w:t>
            </w:r>
          </w:p>
          <w:p w:rsidR="00731042" w:rsidRDefault="00731042" w:rsidP="00731042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>в связи с передачей автомобильных дорог общего пользования федерального значения и земельных участков Государственной компании "Российские автомобильные дороги"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64151B" w:rsidRPr="001275CE" w:rsidRDefault="00731042" w:rsidP="008E10AF">
            <w:pPr>
              <w:pStyle w:val="a4"/>
              <w:numPr>
                <w:ilvl w:val="0"/>
                <w:numId w:val="6"/>
              </w:numPr>
              <w:shd w:val="clear" w:color="auto" w:fill="FFFFFF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 </w:t>
            </w:r>
            <w:proofErr w:type="gramStart"/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>отношении</w:t>
            </w:r>
            <w:proofErr w:type="gramEnd"/>
            <w:r w:rsidRPr="0073104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имущества, передаваемого по концессионному соглашению.</w:t>
            </w:r>
          </w:p>
        </w:tc>
      </w:tr>
      <w:tr w:rsidR="0064151B" w:rsidTr="008E10AF">
        <w:trPr>
          <w:cantSplit/>
        </w:trPr>
        <w:tc>
          <w:tcPr>
            <w:tcW w:w="3936" w:type="dxa"/>
          </w:tcPr>
          <w:p w:rsidR="0064151B" w:rsidRPr="0064151B" w:rsidRDefault="0064151B" w:rsidP="006415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Федеральный закон</w:t>
            </w:r>
            <w:r w:rsidRPr="0064151B">
              <w:rPr>
                <w:szCs w:val="28"/>
              </w:rPr>
              <w:t xml:space="preserve"> от 21.12.2001 года </w:t>
            </w:r>
            <w:r w:rsidRPr="0064151B">
              <w:rPr>
                <w:szCs w:val="28"/>
                <w:lang w:val="en-US"/>
              </w:rPr>
              <w:t>N</w:t>
            </w:r>
            <w:r w:rsidRPr="0064151B">
              <w:rPr>
                <w:szCs w:val="28"/>
              </w:rPr>
              <w:t xml:space="preserve"> 178-ФЗ «О приватизации государственн</w:t>
            </w:r>
            <w:r>
              <w:rPr>
                <w:szCs w:val="28"/>
              </w:rPr>
              <w:t>ого и муници</w:t>
            </w:r>
            <w:r w:rsidR="001275CE">
              <w:rPr>
                <w:szCs w:val="28"/>
              </w:rPr>
              <w:t>пального имущества»,</w:t>
            </w:r>
            <w:r w:rsidR="00CF21A9">
              <w:rPr>
                <w:szCs w:val="28"/>
              </w:rPr>
              <w:t xml:space="preserve"> глава 3,</w:t>
            </w:r>
            <w:r w:rsidR="001275CE">
              <w:rPr>
                <w:szCs w:val="28"/>
              </w:rPr>
              <w:t xml:space="preserve"> статья 12</w:t>
            </w:r>
            <w:r w:rsidR="00A0312C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A0312C">
              <w:rPr>
                <w:szCs w:val="28"/>
              </w:rPr>
              <w:t xml:space="preserve"> 2</w:t>
            </w:r>
          </w:p>
          <w:p w:rsidR="0064151B" w:rsidRDefault="0064151B">
            <w:pPr>
              <w:ind w:firstLine="0"/>
            </w:pPr>
          </w:p>
        </w:tc>
        <w:tc>
          <w:tcPr>
            <w:tcW w:w="6746" w:type="dxa"/>
          </w:tcPr>
          <w:p w:rsidR="0064151B" w:rsidRPr="0064151B" w:rsidRDefault="0064151B" w:rsidP="00A0312C">
            <w:pPr>
              <w:shd w:val="clear" w:color="auto" w:fill="FFFFFF"/>
              <w:rPr>
                <w:rFonts w:eastAsia="Times New Roman" w:cs="Times New Roman"/>
                <w:color w:val="000000"/>
                <w:szCs w:val="30"/>
                <w:lang w:eastAsia="ru-RU"/>
              </w:rPr>
            </w:pPr>
            <w:r w:rsidRPr="0064151B">
              <w:rPr>
                <w:rFonts w:eastAsia="Times New Roman" w:cs="Times New Roman"/>
                <w:color w:val="000000"/>
                <w:szCs w:val="30"/>
                <w:lang w:eastAsia="ru-RU"/>
              </w:rPr>
              <w:t>Начальная цена подлежащего приватизации государственного или муниципального имущества устанавливается в случаях, предусмотренных настоящим Федеральным законом, в соответствии с</w:t>
            </w:r>
            <w:r w:rsidRPr="0064151B">
              <w:rPr>
                <w:rFonts w:eastAsia="Times New Roman" w:cs="Times New Roman"/>
                <w:color w:val="000000"/>
                <w:lang w:eastAsia="ru-RU"/>
              </w:rPr>
              <w:t> </w:t>
            </w:r>
            <w:r w:rsidRPr="0064151B">
              <w:rPr>
                <w:rFonts w:eastAsia="Times New Roman" w:cs="Times New Roman"/>
                <w:lang w:eastAsia="ru-RU"/>
              </w:rPr>
              <w:t>законодательством</w:t>
            </w:r>
            <w:r w:rsidRPr="0064151B">
              <w:rPr>
                <w:rFonts w:eastAsia="Times New Roman" w:cs="Times New Roman"/>
                <w:color w:val="000000"/>
                <w:lang w:eastAsia="ru-RU"/>
              </w:rPr>
              <w:t> </w:t>
            </w:r>
            <w:r w:rsidRPr="0064151B">
              <w:rPr>
                <w:rFonts w:eastAsia="Times New Roman" w:cs="Times New Roman"/>
                <w:color w:val="000000"/>
                <w:szCs w:val="30"/>
                <w:lang w:eastAsia="ru-RU"/>
              </w:rPr>
              <w:t>Российской Федерации, регулирующим оценочную деятельность.</w:t>
            </w:r>
          </w:p>
        </w:tc>
      </w:tr>
      <w:tr w:rsidR="00A0312C" w:rsidTr="008E10AF">
        <w:trPr>
          <w:cantSplit/>
        </w:trPr>
        <w:tc>
          <w:tcPr>
            <w:tcW w:w="3936" w:type="dxa"/>
          </w:tcPr>
          <w:p w:rsidR="00A0312C" w:rsidRDefault="00A0312C" w:rsidP="006415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Федеральный закон</w:t>
            </w:r>
            <w:r w:rsidRPr="0064151B">
              <w:rPr>
                <w:szCs w:val="28"/>
              </w:rPr>
              <w:t xml:space="preserve"> от 21.12.2001 года </w:t>
            </w:r>
            <w:r w:rsidRPr="0064151B">
              <w:rPr>
                <w:szCs w:val="28"/>
                <w:lang w:val="en-US"/>
              </w:rPr>
              <w:t>N</w:t>
            </w:r>
            <w:r w:rsidRPr="0064151B">
              <w:rPr>
                <w:szCs w:val="28"/>
              </w:rPr>
              <w:t xml:space="preserve"> 178-ФЗ «О приватизации государственн</w:t>
            </w:r>
            <w:r>
              <w:rPr>
                <w:szCs w:val="28"/>
              </w:rPr>
              <w:t>ого и муниципального имущества»,</w:t>
            </w:r>
            <w:r w:rsidR="00CF21A9">
              <w:rPr>
                <w:szCs w:val="28"/>
              </w:rPr>
              <w:t xml:space="preserve"> глава 4,</w:t>
            </w:r>
            <w:r>
              <w:rPr>
                <w:szCs w:val="28"/>
              </w:rPr>
              <w:t xml:space="preserve"> статья 25</w:t>
            </w:r>
            <w:r w:rsidR="00CF21A9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CF21A9">
              <w:rPr>
                <w:szCs w:val="28"/>
              </w:rPr>
              <w:t xml:space="preserve"> 4</w:t>
            </w:r>
          </w:p>
        </w:tc>
        <w:tc>
          <w:tcPr>
            <w:tcW w:w="6746" w:type="dxa"/>
          </w:tcPr>
          <w:p w:rsidR="00A0312C" w:rsidRPr="00CF21A9" w:rsidRDefault="00CF21A9" w:rsidP="00CF21A9">
            <w:proofErr w:type="gramStart"/>
            <w:r w:rsidRPr="00CF21A9">
              <w:t>При внесении государственного или муниципального имущества, а также исключительных прав в качестве вклада в уставный капитал открытого акционерного общества количество акций, приобретаемых в собственность Российской Федерации, субъекта Российской Федерации или муниципального образования, доля этих акций в общем количестве обыкновенных акций открытого акционерного общества и стоимость государственного или муниципального имущества, вносимого в качестве вклада в уставный капитал открытого акционерного общества (цена</w:t>
            </w:r>
            <w:proofErr w:type="gramEnd"/>
            <w:r w:rsidRPr="00CF21A9">
              <w:t xml:space="preserve"> приобретения указанных акций), определяются в соответствии с Федеральным</w:t>
            </w:r>
            <w:r>
              <w:t xml:space="preserve"> </w:t>
            </w:r>
            <w:r w:rsidRPr="00CF21A9">
              <w:t>законом</w:t>
            </w:r>
            <w:r>
              <w:t xml:space="preserve"> </w:t>
            </w:r>
            <w:r w:rsidRPr="00CF21A9">
              <w:t xml:space="preserve">"Об акционерных обществах" и законодательством Российской Федерации об оценочной деятельности, если иное не установлено </w:t>
            </w:r>
            <w:r>
              <w:t>ф</w:t>
            </w:r>
            <w:r w:rsidRPr="00CF21A9">
              <w:t>едеральным</w:t>
            </w:r>
            <w:r>
              <w:t xml:space="preserve">и </w:t>
            </w:r>
            <w:r w:rsidRPr="00CF21A9">
              <w:t>закон</w:t>
            </w:r>
            <w:r>
              <w:t>а</w:t>
            </w:r>
            <w:r w:rsidRPr="00CF21A9">
              <w:t>м</w:t>
            </w:r>
            <w:r>
              <w:t>и</w:t>
            </w:r>
          </w:p>
        </w:tc>
      </w:tr>
      <w:tr w:rsidR="009B6A8C" w:rsidTr="008E10AF">
        <w:trPr>
          <w:cantSplit/>
        </w:trPr>
        <w:tc>
          <w:tcPr>
            <w:tcW w:w="10682" w:type="dxa"/>
            <w:gridSpan w:val="2"/>
          </w:tcPr>
          <w:p w:rsidR="009B6A8C" w:rsidRPr="001275CE" w:rsidRDefault="009B6A8C" w:rsidP="001275CE">
            <w:pPr>
              <w:pStyle w:val="a4"/>
              <w:numPr>
                <w:ilvl w:val="0"/>
                <w:numId w:val="2"/>
              </w:numPr>
              <w:rPr>
                <w:szCs w:val="28"/>
              </w:rPr>
            </w:pPr>
            <w:r>
              <w:rPr>
                <w:szCs w:val="28"/>
              </w:rPr>
              <w:t>При возникновении споров о стоимости объекта оценки</w:t>
            </w:r>
          </w:p>
        </w:tc>
      </w:tr>
      <w:tr w:rsidR="009B6A8C" w:rsidTr="009B6A8C">
        <w:trPr>
          <w:cantSplit/>
        </w:trPr>
        <w:tc>
          <w:tcPr>
            <w:tcW w:w="3936" w:type="dxa"/>
          </w:tcPr>
          <w:p w:rsidR="009B6A8C" w:rsidRPr="009B6A8C" w:rsidRDefault="009B6A8C" w:rsidP="009B6A8C">
            <w:pPr>
              <w:ind w:firstLine="0"/>
              <w:rPr>
                <w:szCs w:val="28"/>
              </w:rPr>
            </w:pPr>
            <w:r>
              <w:rPr>
                <w:rFonts w:cs="Times New Roman"/>
                <w:szCs w:val="28"/>
              </w:rPr>
              <w:t>Ф</w:t>
            </w:r>
            <w:r w:rsidRPr="00CA6B0E">
              <w:rPr>
                <w:rFonts w:cs="Times New Roman"/>
                <w:szCs w:val="28"/>
              </w:rPr>
              <w:t>едеральн</w:t>
            </w:r>
            <w:r>
              <w:rPr>
                <w:rFonts w:cs="Times New Roman"/>
                <w:szCs w:val="28"/>
              </w:rPr>
              <w:t>ый закон</w:t>
            </w:r>
            <w:r w:rsidRPr="00CA6B0E">
              <w:rPr>
                <w:rFonts w:cs="Times New Roman"/>
                <w:szCs w:val="28"/>
              </w:rPr>
              <w:t xml:space="preserve"> от </w:t>
            </w:r>
            <w:r w:rsidRPr="00CA6B0E">
              <w:rPr>
                <w:szCs w:val="28"/>
              </w:rPr>
              <w:t xml:space="preserve">29.07.1998 </w:t>
            </w:r>
            <w:r>
              <w:rPr>
                <w:szCs w:val="28"/>
              </w:rPr>
              <w:t xml:space="preserve">года </w:t>
            </w:r>
            <w:r w:rsidRPr="00CA6B0E">
              <w:rPr>
                <w:szCs w:val="28"/>
              </w:rPr>
              <w:t>N 135-ФЗ «Об оценочной деятельности в Российской Федерации»</w:t>
            </w:r>
            <w:r>
              <w:rPr>
                <w:szCs w:val="28"/>
              </w:rPr>
              <w:t>, глава 1,  статья 8</w:t>
            </w:r>
          </w:p>
        </w:tc>
        <w:tc>
          <w:tcPr>
            <w:tcW w:w="6746" w:type="dxa"/>
          </w:tcPr>
          <w:p w:rsidR="00CD1A95" w:rsidRDefault="00CD1A95" w:rsidP="00CD1A95">
            <w:r>
              <w:t>Проведение оценки объектов оценки является обязательным …</w:t>
            </w:r>
          </w:p>
          <w:p w:rsidR="00CD1A95" w:rsidRDefault="00CD1A95" w:rsidP="00CD1A95">
            <w:pPr>
              <w:pStyle w:val="a4"/>
              <w:numPr>
                <w:ilvl w:val="0"/>
                <w:numId w:val="8"/>
              </w:numPr>
            </w:pPr>
            <w:r w:rsidRPr="00CD1A95">
              <w:t>при национализации имущества;</w:t>
            </w:r>
          </w:p>
          <w:p w:rsidR="00CD1A95" w:rsidRDefault="00CD1A95" w:rsidP="00CD1A95">
            <w:pPr>
              <w:pStyle w:val="a4"/>
              <w:numPr>
                <w:ilvl w:val="0"/>
                <w:numId w:val="8"/>
              </w:numPr>
            </w:pPr>
            <w:r w:rsidRPr="00CD1A95">
              <w:t>при ипотечном кредитовании физических лиц и юридических лиц в случаях возникновения споров о величине стоимости предмета ипотеки;</w:t>
            </w:r>
          </w:p>
          <w:p w:rsidR="00CD1A95" w:rsidRDefault="00CD1A95" w:rsidP="00CD1A95">
            <w:pPr>
              <w:pStyle w:val="a4"/>
              <w:numPr>
                <w:ilvl w:val="0"/>
                <w:numId w:val="8"/>
              </w:numPr>
            </w:pPr>
            <w:r w:rsidRPr="00CD1A95">
              <w:t>при составлении брачных контрактов и разделе имущества разводящихся супругов по требованию одной из сторон или обеих сторон в случае возникновения спора о стоимости этого имущества;</w:t>
            </w:r>
          </w:p>
          <w:p w:rsidR="00CD1A95" w:rsidRDefault="00CD1A95" w:rsidP="00CD1A95">
            <w:pPr>
              <w:pStyle w:val="a4"/>
              <w:numPr>
                <w:ilvl w:val="0"/>
                <w:numId w:val="8"/>
              </w:numPr>
            </w:pPr>
            <w:r w:rsidRPr="00CD1A95">
              <w:t>при выкупе или ином предусмотренном законодательством Российской Федерации изъятии имущества у собственников для государственных или муниципальных нужд;</w:t>
            </w:r>
          </w:p>
          <w:p w:rsidR="009B6A8C" w:rsidRPr="00CD1A95" w:rsidRDefault="00CD1A95" w:rsidP="00CD1A95">
            <w:pPr>
              <w:pStyle w:val="a4"/>
              <w:numPr>
                <w:ilvl w:val="0"/>
                <w:numId w:val="8"/>
              </w:numPr>
            </w:pPr>
            <w:proofErr w:type="gramStart"/>
            <w:r w:rsidRPr="00CD1A95">
              <w:t>при проведении оценки объектов оценки в целях контроля за правильностью уплаты налогов в случае возникновения спора об исчислении</w:t>
            </w:r>
            <w:proofErr w:type="gramEnd"/>
            <w:r w:rsidRPr="00CD1A95">
              <w:t xml:space="preserve"> налогооблагаемой базы</w:t>
            </w:r>
            <w:r>
              <w:t>.</w:t>
            </w:r>
          </w:p>
        </w:tc>
      </w:tr>
      <w:tr w:rsidR="001275CE" w:rsidTr="008E10AF">
        <w:trPr>
          <w:cantSplit/>
        </w:trPr>
        <w:tc>
          <w:tcPr>
            <w:tcW w:w="10682" w:type="dxa"/>
            <w:gridSpan w:val="2"/>
          </w:tcPr>
          <w:p w:rsidR="001275CE" w:rsidRDefault="001275CE" w:rsidP="001275CE">
            <w:pPr>
              <w:pStyle w:val="a4"/>
              <w:numPr>
                <w:ilvl w:val="0"/>
                <w:numId w:val="2"/>
              </w:numPr>
            </w:pPr>
            <w:r w:rsidRPr="001275CE">
              <w:rPr>
                <w:szCs w:val="28"/>
              </w:rPr>
              <w:lastRenderedPageBreak/>
              <w:t>Оценка взноса в уставный капитал</w:t>
            </w:r>
            <w:r>
              <w:rPr>
                <w:szCs w:val="28"/>
              </w:rPr>
              <w:t>, фонды юридических лиц.</w:t>
            </w:r>
          </w:p>
        </w:tc>
      </w:tr>
      <w:tr w:rsidR="001275CE" w:rsidTr="008E10AF">
        <w:trPr>
          <w:cantSplit/>
        </w:trPr>
        <w:tc>
          <w:tcPr>
            <w:tcW w:w="3936" w:type="dxa"/>
          </w:tcPr>
          <w:p w:rsidR="001275CE" w:rsidRDefault="001275CE" w:rsidP="001275CE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08.02.1998 года N 14-ФЗ «Об обществах с ограниченной ответственностью»</w:t>
            </w:r>
            <w:r>
              <w:rPr>
                <w:szCs w:val="28"/>
              </w:rPr>
              <w:t xml:space="preserve">, </w:t>
            </w:r>
            <w:r w:rsidR="00CF21A9">
              <w:rPr>
                <w:szCs w:val="28"/>
              </w:rPr>
              <w:t xml:space="preserve">глава 3, </w:t>
            </w:r>
            <w:r>
              <w:rPr>
                <w:szCs w:val="28"/>
              </w:rPr>
              <w:t xml:space="preserve">статья 15,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1275CE" w:rsidRPr="001275CE" w:rsidRDefault="001275CE" w:rsidP="000D7C4A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1275CE">
              <w:rPr>
                <w:rFonts w:eastAsia="Times New Roman" w:cs="Times New Roman"/>
                <w:szCs w:val="28"/>
                <w:lang w:eastAsia="ru-RU"/>
              </w:rPr>
              <w:t xml:space="preserve">Если номинальная стоимость или увеличение номинальной стоимости доли участника общества в уставном капитале общества, оплачиваемой </w:t>
            </w:r>
            <w:proofErr w:type="spellStart"/>
            <w:r w:rsidRPr="001275CE">
              <w:rPr>
                <w:rFonts w:eastAsia="Times New Roman" w:cs="Times New Roman"/>
                <w:szCs w:val="28"/>
                <w:lang w:eastAsia="ru-RU"/>
              </w:rPr>
              <w:t>неденежными</w:t>
            </w:r>
            <w:proofErr w:type="spellEnd"/>
            <w:r w:rsidRPr="001275CE">
              <w:rPr>
                <w:rFonts w:eastAsia="Times New Roman" w:cs="Times New Roman"/>
                <w:szCs w:val="28"/>
                <w:lang w:eastAsia="ru-RU"/>
              </w:rPr>
              <w:t xml:space="preserve"> средствами, составляет более чем двадцать тысяч рублей, в целях определения стоимости этого имущества должен привлекаться независимый оценщик при условии, что иное не предусмотрено федеральным законом. Номинальная стоимость или увеличение номинальной стоимости доли участника общества, оплачиваемой такими </w:t>
            </w:r>
            <w:proofErr w:type="spellStart"/>
            <w:r w:rsidRPr="001275CE">
              <w:rPr>
                <w:rFonts w:eastAsia="Times New Roman" w:cs="Times New Roman"/>
                <w:szCs w:val="28"/>
                <w:lang w:eastAsia="ru-RU"/>
              </w:rPr>
              <w:t>неденежными</w:t>
            </w:r>
            <w:proofErr w:type="spellEnd"/>
            <w:r w:rsidRPr="001275CE">
              <w:rPr>
                <w:rFonts w:eastAsia="Times New Roman" w:cs="Times New Roman"/>
                <w:szCs w:val="28"/>
                <w:lang w:eastAsia="ru-RU"/>
              </w:rPr>
              <w:t xml:space="preserve"> средствами, не может превышать сумму оценки указанного имущества, определенную независимым оценщиком.</w:t>
            </w:r>
          </w:p>
        </w:tc>
      </w:tr>
      <w:tr w:rsidR="001275CE" w:rsidTr="008E10AF">
        <w:trPr>
          <w:cantSplit/>
        </w:trPr>
        <w:tc>
          <w:tcPr>
            <w:tcW w:w="3936" w:type="dxa"/>
          </w:tcPr>
          <w:p w:rsidR="001275CE" w:rsidRDefault="001275CE" w:rsidP="001275CE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26.12.1995 года N 208-ФЗ  «Об акционерных обществах»,</w:t>
            </w:r>
            <w:r w:rsidR="00CF21A9">
              <w:rPr>
                <w:szCs w:val="28"/>
              </w:rPr>
              <w:t xml:space="preserve"> глава 3,</w:t>
            </w:r>
            <w:r>
              <w:rPr>
                <w:szCs w:val="28"/>
              </w:rPr>
              <w:t xml:space="preserve"> статья 34,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3</w:t>
            </w:r>
          </w:p>
        </w:tc>
        <w:tc>
          <w:tcPr>
            <w:tcW w:w="6746" w:type="dxa"/>
          </w:tcPr>
          <w:p w:rsidR="001275CE" w:rsidRPr="001275CE" w:rsidRDefault="001275CE" w:rsidP="000D7C4A">
            <w:pPr>
              <w:rPr>
                <w:rFonts w:cs="Times New Roman"/>
              </w:rPr>
            </w:pPr>
            <w:r w:rsidRPr="001275CE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 При оплате акций </w:t>
            </w:r>
            <w:proofErr w:type="spellStart"/>
            <w:r w:rsidRPr="001275CE">
              <w:rPr>
                <w:rFonts w:cs="Times New Roman"/>
                <w:color w:val="000000"/>
                <w:szCs w:val="27"/>
                <w:shd w:val="clear" w:color="auto" w:fill="FFFFFF"/>
              </w:rPr>
              <w:t>неденежными</w:t>
            </w:r>
            <w:proofErr w:type="spellEnd"/>
            <w:r w:rsidRPr="001275CE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 средствами для определения рыночной стоимости такого имущества должен привлекаться независимый оценщик, если иное не установлено федеральным</w:t>
            </w:r>
            <w:r w:rsidRPr="001275CE">
              <w:rPr>
                <w:rStyle w:val="apple-converted-space"/>
                <w:rFonts w:cs="Times New Roman"/>
                <w:color w:val="000000"/>
                <w:szCs w:val="27"/>
                <w:shd w:val="clear" w:color="auto" w:fill="FFFFFF"/>
              </w:rPr>
              <w:t> </w:t>
            </w:r>
            <w:r w:rsidRPr="001275CE">
              <w:rPr>
                <w:rFonts w:cs="Times New Roman"/>
                <w:szCs w:val="27"/>
                <w:shd w:val="clear" w:color="auto" w:fill="FFFFFF"/>
              </w:rPr>
              <w:t>законом</w:t>
            </w:r>
            <w:r w:rsidRPr="001275CE">
              <w:rPr>
                <w:rFonts w:cs="Times New Roman"/>
                <w:color w:val="000000"/>
                <w:szCs w:val="27"/>
                <w:shd w:val="clear" w:color="auto" w:fill="FFFFFF"/>
              </w:rPr>
              <w:t>. Величина денежной оценки имущества, произведенной учредителями общества и советом директоров (наблюдательным советом) общества, не может быть выше величины оценки, произведенной независимым оценщиком.</w:t>
            </w:r>
          </w:p>
        </w:tc>
      </w:tr>
      <w:tr w:rsidR="006C14B9" w:rsidTr="008E10AF">
        <w:trPr>
          <w:cantSplit/>
        </w:trPr>
        <w:tc>
          <w:tcPr>
            <w:tcW w:w="3936" w:type="dxa"/>
          </w:tcPr>
          <w:p w:rsidR="006C14B9" w:rsidRDefault="006C14B9" w:rsidP="001275C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Федеральный закон</w:t>
            </w:r>
            <w:r w:rsidRPr="00CA6B0E">
              <w:rPr>
                <w:szCs w:val="28"/>
              </w:rPr>
              <w:t xml:space="preserve"> от 08.05.1996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41-ФЗ «О</w:t>
            </w:r>
            <w:r>
              <w:rPr>
                <w:szCs w:val="28"/>
              </w:rPr>
              <w:t xml:space="preserve"> производственных кооперативах», </w:t>
            </w:r>
            <w:r w:rsidR="00CF21A9">
              <w:rPr>
                <w:szCs w:val="28"/>
              </w:rPr>
              <w:t xml:space="preserve">глава 4, </w:t>
            </w:r>
            <w:r>
              <w:rPr>
                <w:szCs w:val="28"/>
              </w:rPr>
              <w:t xml:space="preserve">статья 10,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6C14B9" w:rsidRPr="006C14B9" w:rsidRDefault="006C14B9" w:rsidP="000D7C4A">
            <w:pPr>
              <w:rPr>
                <w:rFonts w:cs="Times New Roman"/>
                <w:color w:val="000000"/>
                <w:szCs w:val="27"/>
                <w:shd w:val="clear" w:color="auto" w:fill="FFFFFF"/>
              </w:rPr>
            </w:pPr>
            <w:r w:rsidRPr="006C14B9">
              <w:rPr>
                <w:rFonts w:cs="Times New Roman"/>
                <w:color w:val="000000"/>
                <w:szCs w:val="27"/>
                <w:shd w:val="clear" w:color="auto" w:fill="FFFFFF"/>
              </w:rPr>
              <w:t>Оценка паевого взноса проводится при образовании кооператива по взаимной договоренности членов кооператива на основе сложившихся на рынке цен, а при вступлении в кооператив новых членов комиссией, назначаемой правлением кооператива. Оценка паевого взноса, превышающего двести пятьдесят установленных федеральным законом</w:t>
            </w:r>
            <w:r w:rsidRPr="006C14B9">
              <w:rPr>
                <w:rStyle w:val="apple-converted-space"/>
                <w:rFonts w:cs="Times New Roman"/>
                <w:color w:val="000000"/>
                <w:szCs w:val="27"/>
                <w:shd w:val="clear" w:color="auto" w:fill="FFFFFF"/>
              </w:rPr>
              <w:t> </w:t>
            </w:r>
            <w:r w:rsidRPr="006C14B9">
              <w:rPr>
                <w:rFonts w:cs="Times New Roman"/>
                <w:szCs w:val="27"/>
                <w:shd w:val="clear" w:color="auto" w:fill="FFFFFF"/>
              </w:rPr>
              <w:t xml:space="preserve">минимальных </w:t>
            </w:r>
            <w:proofErr w:type="gramStart"/>
            <w:r w:rsidRPr="006C14B9">
              <w:rPr>
                <w:rFonts w:cs="Times New Roman"/>
                <w:szCs w:val="27"/>
                <w:shd w:val="clear" w:color="auto" w:fill="FFFFFF"/>
              </w:rPr>
              <w:t>размеров оплаты труда</w:t>
            </w:r>
            <w:proofErr w:type="gramEnd"/>
            <w:r w:rsidRPr="006C14B9">
              <w:rPr>
                <w:rFonts w:cs="Times New Roman"/>
                <w:color w:val="000000"/>
                <w:szCs w:val="27"/>
                <w:shd w:val="clear" w:color="auto" w:fill="FFFFFF"/>
              </w:rPr>
              <w:t>, должна быть произведена независимым оценщиком.</w:t>
            </w:r>
          </w:p>
        </w:tc>
      </w:tr>
      <w:tr w:rsidR="001275CE" w:rsidTr="008E10AF">
        <w:trPr>
          <w:cantSplit/>
        </w:trPr>
        <w:tc>
          <w:tcPr>
            <w:tcW w:w="3936" w:type="dxa"/>
          </w:tcPr>
          <w:p w:rsidR="001275CE" w:rsidRDefault="001275CE" w:rsidP="001275CE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09.07.1999 года N 160-ФЗ «Об иностранных инвестициях  в Российской Федерации»,</w:t>
            </w:r>
            <w:r>
              <w:rPr>
                <w:szCs w:val="28"/>
              </w:rPr>
              <w:t xml:space="preserve"> статья 6</w:t>
            </w:r>
          </w:p>
        </w:tc>
        <w:tc>
          <w:tcPr>
            <w:tcW w:w="6746" w:type="dxa"/>
          </w:tcPr>
          <w:p w:rsidR="001275CE" w:rsidRPr="001275CE" w:rsidRDefault="001275CE" w:rsidP="00A0312C">
            <w:pPr>
              <w:shd w:val="clear" w:color="auto" w:fill="FFFFFF"/>
              <w:rPr>
                <w:rFonts w:eastAsia="Times New Roman" w:cs="Times New Roman"/>
                <w:color w:val="000000"/>
                <w:szCs w:val="27"/>
                <w:lang w:eastAsia="ru-RU"/>
              </w:rPr>
            </w:pPr>
            <w:r w:rsidRPr="001275CE">
              <w:rPr>
                <w:rFonts w:eastAsia="Times New Roman" w:cs="Times New Roman"/>
                <w:color w:val="000000"/>
                <w:szCs w:val="27"/>
                <w:lang w:eastAsia="ru-RU"/>
              </w:rPr>
              <w:t>Оценка вложения капитала в уставный (складочный) капитал коммерческой организации с иностранными инвестициями производится в соответствии с законодательством Российской Федерации.</w:t>
            </w:r>
          </w:p>
        </w:tc>
      </w:tr>
      <w:tr w:rsidR="00DA6756" w:rsidTr="008E10AF">
        <w:trPr>
          <w:cantSplit/>
        </w:trPr>
        <w:tc>
          <w:tcPr>
            <w:tcW w:w="3936" w:type="dxa"/>
          </w:tcPr>
          <w:p w:rsidR="00DA6756" w:rsidRDefault="00371E81">
            <w:pPr>
              <w:ind w:firstLine="0"/>
            </w:pPr>
            <w:r>
              <w:t xml:space="preserve">Гражданский Кодекс Российской Федерации, часть первая, </w:t>
            </w:r>
            <w:r w:rsidR="00A0312C">
              <w:t xml:space="preserve">раздел 1, </w:t>
            </w:r>
            <w:r>
              <w:t xml:space="preserve">подраздел 2, глава 4, параграф 2, </w:t>
            </w:r>
            <w:r w:rsidR="00DA6756">
              <w:t xml:space="preserve">статья 66, </w:t>
            </w:r>
            <w:r w:rsidR="005405AB">
              <w:t>часть</w:t>
            </w:r>
            <w:r w:rsidR="00DA6756">
              <w:t xml:space="preserve"> 6</w:t>
            </w:r>
          </w:p>
        </w:tc>
        <w:tc>
          <w:tcPr>
            <w:tcW w:w="6746" w:type="dxa"/>
          </w:tcPr>
          <w:p w:rsidR="00DA6756" w:rsidRPr="00DA6756" w:rsidRDefault="00DA6756" w:rsidP="00DA6756">
            <w:pPr>
              <w:shd w:val="clear" w:color="auto" w:fill="FFFFFF"/>
              <w:ind w:firstLine="544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A6756">
              <w:rPr>
                <w:rFonts w:eastAsia="Times New Roman" w:cs="Times New Roman"/>
                <w:color w:val="000000"/>
                <w:szCs w:val="24"/>
                <w:lang w:eastAsia="ru-RU"/>
              </w:rPr>
              <w:t>Вкладом в имущество хозяйственного товарищества или общества могут быть деньги, ценные бумаги, другие вещи или имущественные права либо иные права, имеющие денежную оценку.</w:t>
            </w:r>
          </w:p>
          <w:p w:rsidR="00DA6756" w:rsidRPr="00DA6756" w:rsidRDefault="00DA6756" w:rsidP="00DA6756">
            <w:pPr>
              <w:shd w:val="clear" w:color="auto" w:fill="FFFFFF"/>
              <w:ind w:firstLine="544"/>
              <w:rPr>
                <w:rFonts w:cs="Times New Roman"/>
              </w:rPr>
            </w:pPr>
            <w:r w:rsidRPr="00DA6756">
              <w:rPr>
                <w:rFonts w:eastAsia="Times New Roman" w:cs="Times New Roman"/>
                <w:color w:val="000000"/>
                <w:szCs w:val="24"/>
                <w:lang w:eastAsia="ru-RU"/>
              </w:rPr>
              <w:t> Денежная оценка вклада участника хозяйственного общества производится по соглашению между учредителями (участниками) общества и в случаях, предусмотренных законом, подлежит независимой экспертной проверке.</w:t>
            </w:r>
          </w:p>
        </w:tc>
      </w:tr>
      <w:tr w:rsidR="00DA6756" w:rsidTr="008E10AF">
        <w:trPr>
          <w:cantSplit/>
        </w:trPr>
        <w:tc>
          <w:tcPr>
            <w:tcW w:w="10682" w:type="dxa"/>
            <w:gridSpan w:val="2"/>
          </w:tcPr>
          <w:p w:rsidR="00DA6756" w:rsidRDefault="00DA6756" w:rsidP="00DA6756">
            <w:pPr>
              <w:pStyle w:val="a4"/>
              <w:numPr>
                <w:ilvl w:val="0"/>
                <w:numId w:val="2"/>
              </w:numPr>
            </w:pPr>
            <w:r>
              <w:lastRenderedPageBreak/>
              <w:t xml:space="preserve">В </w:t>
            </w:r>
            <w:proofErr w:type="gramStart"/>
            <w:r>
              <w:t>случаях</w:t>
            </w:r>
            <w:proofErr w:type="gramEnd"/>
            <w:r>
              <w:t xml:space="preserve"> выкупа обществом у акционеров, принадлежащих им акций</w:t>
            </w:r>
          </w:p>
        </w:tc>
      </w:tr>
      <w:tr w:rsidR="00DA6756" w:rsidTr="008E10AF">
        <w:trPr>
          <w:cantSplit/>
        </w:trPr>
        <w:tc>
          <w:tcPr>
            <w:tcW w:w="3936" w:type="dxa"/>
          </w:tcPr>
          <w:p w:rsidR="00DA6756" w:rsidRDefault="00DA6756" w:rsidP="00DA6756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26.12.1995 года N 208-ФЗ  «Об акционерных обществах»</w:t>
            </w:r>
            <w:r>
              <w:rPr>
                <w:szCs w:val="28"/>
              </w:rPr>
              <w:t>, статья 75</w:t>
            </w:r>
            <w:r w:rsidR="00CF21A9">
              <w:rPr>
                <w:szCs w:val="28"/>
              </w:rPr>
              <w:t>, глава 9</w:t>
            </w:r>
            <w:r w:rsidR="007479E0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7479E0">
              <w:rPr>
                <w:szCs w:val="28"/>
              </w:rPr>
              <w:t xml:space="preserve"> 3</w:t>
            </w:r>
          </w:p>
        </w:tc>
        <w:tc>
          <w:tcPr>
            <w:tcW w:w="6746" w:type="dxa"/>
          </w:tcPr>
          <w:p w:rsidR="00DA6756" w:rsidRPr="007479E0" w:rsidRDefault="007479E0" w:rsidP="007479E0">
            <w:pPr>
              <w:shd w:val="clear" w:color="auto" w:fill="FFFFFF"/>
              <w:spacing w:before="100" w:beforeAutospacing="1" w:after="100" w:afterAutospacing="1"/>
              <w:ind w:firstLine="547"/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</w:t>
            </w:r>
            <w:r w:rsidRPr="007479E0">
              <w:rPr>
                <w:rFonts w:eastAsia="Times New Roman" w:cs="Times New Roman"/>
                <w:color w:val="000000"/>
                <w:szCs w:val="27"/>
                <w:lang w:eastAsia="ru-RU"/>
              </w:rPr>
              <w:t>Выкуп акций обществом осуществляется по цене, определенной советом директоров (наблюдательным советом) общества, но не ниже рыночной стоимости, которая должна быть определена независимым оценщиком без учета ее изменения в результате действий общества, повлекших возникновение права требования оценки и выкупа акций.</w:t>
            </w:r>
          </w:p>
        </w:tc>
      </w:tr>
      <w:tr w:rsidR="007479E0" w:rsidTr="008E10AF">
        <w:trPr>
          <w:cantSplit/>
        </w:trPr>
        <w:tc>
          <w:tcPr>
            <w:tcW w:w="3936" w:type="dxa"/>
          </w:tcPr>
          <w:p w:rsidR="007479E0" w:rsidRDefault="007479E0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26.12.1995 года N 208-ФЗ  «Об акционерных обществах»</w:t>
            </w:r>
            <w:r>
              <w:rPr>
                <w:szCs w:val="28"/>
              </w:rPr>
              <w:t>,</w:t>
            </w:r>
            <w:r w:rsidR="00CF21A9">
              <w:rPr>
                <w:szCs w:val="28"/>
              </w:rPr>
              <w:t xml:space="preserve"> глава 9,</w:t>
            </w:r>
            <w:r>
              <w:rPr>
                <w:szCs w:val="28"/>
              </w:rPr>
              <w:t xml:space="preserve"> статья 77,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7479E0" w:rsidRPr="007479E0" w:rsidRDefault="007479E0" w:rsidP="00661F63">
            <w:pPr>
              <w:shd w:val="clear" w:color="auto" w:fill="FFFFFF"/>
              <w:ind w:firstLine="547"/>
              <w:rPr>
                <w:rFonts w:eastAsia="Times New Roman" w:cs="Times New Roman"/>
                <w:szCs w:val="27"/>
                <w:lang w:eastAsia="ru-RU"/>
              </w:rPr>
            </w:pPr>
            <w:r w:rsidRPr="007479E0">
              <w:rPr>
                <w:rFonts w:eastAsia="Times New Roman" w:cs="Times New Roman"/>
                <w:szCs w:val="27"/>
                <w:lang w:eastAsia="ru-RU"/>
              </w:rPr>
              <w:t>Для определения рыночной стоимости имущества может быть привлечен независимый оценщик.</w:t>
            </w:r>
          </w:p>
          <w:p w:rsidR="007479E0" w:rsidRPr="007479E0" w:rsidRDefault="007479E0" w:rsidP="00661F63">
            <w:pPr>
              <w:shd w:val="clear" w:color="auto" w:fill="FFFFFF"/>
              <w:ind w:firstLine="547"/>
              <w:rPr>
                <w:rFonts w:eastAsia="Times New Roman" w:cs="Times New Roman"/>
                <w:szCs w:val="27"/>
                <w:lang w:eastAsia="ru-RU"/>
              </w:rPr>
            </w:pPr>
            <w:r w:rsidRPr="007479E0">
              <w:rPr>
                <w:rFonts w:eastAsia="Times New Roman" w:cs="Times New Roman"/>
                <w:szCs w:val="27"/>
                <w:lang w:eastAsia="ru-RU"/>
              </w:rPr>
              <w:t> Привлечение независимого оценщика для определения рыночной стоимости является обязательным для определения цены выкупа обществом у акционеров принадлежащих им акций в соответствии со</w:t>
            </w:r>
            <w:r w:rsidRPr="007479E0">
              <w:rPr>
                <w:rFonts w:eastAsia="Times New Roman" w:cs="Times New Roman"/>
                <w:lang w:eastAsia="ru-RU"/>
              </w:rPr>
              <w:t> статьей 76 </w:t>
            </w:r>
            <w:r w:rsidRPr="007479E0">
              <w:rPr>
                <w:rFonts w:eastAsia="Times New Roman" w:cs="Times New Roman"/>
                <w:szCs w:val="27"/>
                <w:lang w:eastAsia="ru-RU"/>
              </w:rPr>
              <w:t>настоящего Федерального закона, а также в иных случаях, если это прямо предусмотрено настоящим федеральным законом.</w:t>
            </w:r>
          </w:p>
          <w:p w:rsidR="006970EF" w:rsidRPr="007479E0" w:rsidRDefault="007479E0" w:rsidP="00661F63">
            <w:pPr>
              <w:shd w:val="clear" w:color="auto" w:fill="FFFFFF"/>
              <w:ind w:firstLine="0"/>
              <w:rPr>
                <w:rFonts w:eastAsia="Times New Roman" w:cs="Times New Roman"/>
                <w:szCs w:val="27"/>
                <w:lang w:eastAsia="ru-RU"/>
              </w:rPr>
            </w:pPr>
            <w:r w:rsidRPr="007479E0">
              <w:rPr>
                <w:rFonts w:eastAsia="Times New Roman" w:cs="Times New Roman"/>
                <w:szCs w:val="27"/>
                <w:lang w:eastAsia="ru-RU"/>
              </w:rPr>
              <w:t> </w:t>
            </w:r>
            <w:proofErr w:type="gramStart"/>
            <w:r w:rsidRPr="007479E0">
              <w:rPr>
                <w:rFonts w:eastAsia="Times New Roman" w:cs="Times New Roman"/>
                <w:szCs w:val="27"/>
                <w:lang w:eastAsia="ru-RU"/>
              </w:rPr>
              <w:t>В случае определения цены размещения ценных бумаг, цена покупки или цена спроса и цена предложения которых регулярно опубликовываются в печати, привлечение независимого оценщика необязательно, а для определения рыночной стоимости таких ценных бумаг должна быть принята во внимание эта цена покупки или цена спроса и цена предложения.</w:t>
            </w:r>
            <w:proofErr w:type="gramEnd"/>
          </w:p>
        </w:tc>
      </w:tr>
      <w:tr w:rsidR="006970EF" w:rsidTr="008E10AF">
        <w:trPr>
          <w:cantSplit/>
        </w:trPr>
        <w:tc>
          <w:tcPr>
            <w:tcW w:w="10682" w:type="dxa"/>
            <w:gridSpan w:val="2"/>
          </w:tcPr>
          <w:p w:rsidR="006970EF" w:rsidRDefault="006970EF">
            <w:pPr>
              <w:ind w:firstLine="0"/>
            </w:pPr>
            <w:r>
              <w:rPr>
                <w:rFonts w:eastAsia="Times New Roman" w:cs="Times New Roman"/>
                <w:szCs w:val="27"/>
                <w:lang w:eastAsia="ru-RU"/>
              </w:rPr>
              <w:t xml:space="preserve">Примечание: в 76 статье данного закона описан порядок осуществления акционерами права требовать выкупа обществом принадлежащих им акций, но не описаны случаи привлечения независимого оценщика. На основании 75 статьи можно сделать вывод о том, что при любом выкупе акций обществом проводится оценка стоимости бизнеса (пакета акций). </w:t>
            </w:r>
            <w:r w:rsidR="006C14B9">
              <w:rPr>
                <w:rFonts w:eastAsia="Times New Roman" w:cs="Times New Roman"/>
                <w:szCs w:val="27"/>
                <w:lang w:eastAsia="ru-RU"/>
              </w:rPr>
              <w:t>Также в 75 статье описаны случаи возникновения права требовать выкупа акций.</w:t>
            </w:r>
          </w:p>
        </w:tc>
      </w:tr>
      <w:tr w:rsidR="006C14B9" w:rsidTr="008E10AF">
        <w:trPr>
          <w:cantSplit/>
        </w:trPr>
        <w:tc>
          <w:tcPr>
            <w:tcW w:w="10682" w:type="dxa"/>
            <w:gridSpan w:val="2"/>
          </w:tcPr>
          <w:p w:rsidR="006C14B9" w:rsidRDefault="006C14B9" w:rsidP="006C14B9">
            <w:pPr>
              <w:pStyle w:val="a4"/>
              <w:numPr>
                <w:ilvl w:val="0"/>
                <w:numId w:val="2"/>
              </w:numPr>
            </w:pPr>
            <w:r w:rsidRPr="006C14B9">
              <w:rPr>
                <w:szCs w:val="28"/>
              </w:rPr>
              <w:t>Оценка объектов для залога.</w:t>
            </w:r>
          </w:p>
        </w:tc>
      </w:tr>
      <w:tr w:rsidR="008E10AF" w:rsidTr="008E10AF">
        <w:trPr>
          <w:cantSplit/>
        </w:trPr>
        <w:tc>
          <w:tcPr>
            <w:tcW w:w="3936" w:type="dxa"/>
          </w:tcPr>
          <w:p w:rsidR="008E10AF" w:rsidRDefault="00A0312C" w:rsidP="00661F63">
            <w:pPr>
              <w:ind w:firstLine="0"/>
            </w:pPr>
            <w:r>
              <w:t>Гражданский Кодекс</w:t>
            </w:r>
            <w:r w:rsidR="008E10AF">
              <w:t xml:space="preserve"> Российской Федерации, </w:t>
            </w:r>
            <w:r>
              <w:t xml:space="preserve">часть первая, раздел 3, подраздел 1, глава 23, параграф 3, </w:t>
            </w:r>
            <w:r w:rsidR="008E10AF">
              <w:t>статья 339</w:t>
            </w:r>
            <w:r w:rsidR="007A794C">
              <w:t xml:space="preserve">, </w:t>
            </w:r>
            <w:r w:rsidR="005405AB">
              <w:t>часть</w:t>
            </w:r>
            <w:r w:rsidR="007A794C">
              <w:t xml:space="preserve"> 1</w:t>
            </w:r>
          </w:p>
        </w:tc>
        <w:tc>
          <w:tcPr>
            <w:tcW w:w="6746" w:type="dxa"/>
          </w:tcPr>
          <w:p w:rsidR="008E10AF" w:rsidRPr="007A794C" w:rsidRDefault="007A794C" w:rsidP="000D7C4A">
            <w:pPr>
              <w:rPr>
                <w:rFonts w:cs="Times New Roman"/>
              </w:rPr>
            </w:pPr>
            <w:r w:rsidRPr="007A794C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В </w:t>
            </w:r>
            <w:proofErr w:type="gramStart"/>
            <w:r w:rsidRPr="007A794C">
              <w:rPr>
                <w:rFonts w:cs="Times New Roman"/>
                <w:color w:val="000000"/>
                <w:szCs w:val="27"/>
                <w:shd w:val="clear" w:color="auto" w:fill="FFFFFF"/>
              </w:rPr>
              <w:t>договоре</w:t>
            </w:r>
            <w:proofErr w:type="gramEnd"/>
            <w:r w:rsidRPr="007A794C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 о залоге должны быть указаны предмет залога и его оценка, существо, размер и срок исполнения обязательства, обеспечиваемого залогом.</w:t>
            </w:r>
            <w:r w:rsidRPr="007A794C">
              <w:rPr>
                <w:rStyle w:val="apple-converted-space"/>
                <w:rFonts w:cs="Times New Roman"/>
                <w:color w:val="000000"/>
                <w:szCs w:val="27"/>
                <w:shd w:val="clear" w:color="auto" w:fill="FFFFFF"/>
              </w:rPr>
              <w:t> </w:t>
            </w:r>
          </w:p>
        </w:tc>
      </w:tr>
      <w:tr w:rsidR="008E10AF" w:rsidTr="008E10AF">
        <w:trPr>
          <w:cantSplit/>
        </w:trPr>
        <w:tc>
          <w:tcPr>
            <w:tcW w:w="3936" w:type="dxa"/>
          </w:tcPr>
          <w:p w:rsidR="008E10AF" w:rsidRDefault="008E10AF" w:rsidP="006C14B9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16.07.1998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102-ФЗ «Об ипотеке (залоге недвижимости)»</w:t>
            </w:r>
            <w:r>
              <w:rPr>
                <w:szCs w:val="28"/>
              </w:rPr>
              <w:t xml:space="preserve">, </w:t>
            </w:r>
            <w:r w:rsidR="00CF21A9">
              <w:rPr>
                <w:szCs w:val="28"/>
              </w:rPr>
              <w:t xml:space="preserve">глава 2, </w:t>
            </w:r>
            <w:r>
              <w:rPr>
                <w:szCs w:val="28"/>
              </w:rPr>
              <w:t>статья 9</w:t>
            </w:r>
            <w:r w:rsidR="002F6EE0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2F6EE0">
              <w:rPr>
                <w:szCs w:val="28"/>
              </w:rPr>
              <w:t xml:space="preserve"> 1</w:t>
            </w:r>
          </w:p>
        </w:tc>
        <w:tc>
          <w:tcPr>
            <w:tcW w:w="6746" w:type="dxa"/>
          </w:tcPr>
          <w:p w:rsidR="008E10AF" w:rsidRPr="002F6EE0" w:rsidRDefault="002F6EE0" w:rsidP="000D7C4A">
            <w:pPr>
              <w:rPr>
                <w:rFonts w:cs="Times New Roman"/>
              </w:rPr>
            </w:pPr>
            <w:r w:rsidRPr="002F6EE0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В </w:t>
            </w:r>
            <w:proofErr w:type="gramStart"/>
            <w:r w:rsidRPr="002F6EE0">
              <w:rPr>
                <w:rFonts w:cs="Times New Roman"/>
                <w:color w:val="000000"/>
                <w:szCs w:val="27"/>
                <w:shd w:val="clear" w:color="auto" w:fill="FFFFFF"/>
              </w:rPr>
              <w:t>договоре</w:t>
            </w:r>
            <w:proofErr w:type="gramEnd"/>
            <w:r w:rsidRPr="002F6EE0">
              <w:rPr>
                <w:rFonts w:cs="Times New Roman"/>
                <w:color w:val="000000"/>
                <w:szCs w:val="27"/>
                <w:shd w:val="clear" w:color="auto" w:fill="FFFFFF"/>
              </w:rPr>
              <w:t xml:space="preserve"> об ипотеке должны быть указаны предмет ипотеки, его оценка, существо, размер и срок исполнения обязательства, обеспечиваемого ипотекой.</w:t>
            </w:r>
            <w:r w:rsidRPr="002F6EE0">
              <w:rPr>
                <w:rFonts w:cs="Times New Roman"/>
                <w:color w:val="000000"/>
                <w:szCs w:val="27"/>
              </w:rPr>
              <w:br/>
            </w:r>
          </w:p>
        </w:tc>
      </w:tr>
      <w:tr w:rsidR="008E10AF" w:rsidTr="008E10AF">
        <w:trPr>
          <w:cantSplit/>
        </w:trPr>
        <w:tc>
          <w:tcPr>
            <w:tcW w:w="3936" w:type="dxa"/>
          </w:tcPr>
          <w:p w:rsidR="008E10AF" w:rsidRDefault="008E10AF" w:rsidP="00661F63">
            <w:pPr>
              <w:ind w:firstLine="0"/>
            </w:pPr>
            <w:r>
              <w:rPr>
                <w:szCs w:val="28"/>
              </w:rPr>
              <w:lastRenderedPageBreak/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16.07.1998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102-ФЗ «Об ипотеке (залоге недвижимости)»</w:t>
            </w:r>
            <w:r>
              <w:rPr>
                <w:szCs w:val="28"/>
              </w:rPr>
              <w:t xml:space="preserve">, </w:t>
            </w:r>
            <w:r w:rsidR="00CF21A9">
              <w:rPr>
                <w:szCs w:val="28"/>
              </w:rPr>
              <w:t xml:space="preserve">глава 3, </w:t>
            </w:r>
            <w:r>
              <w:rPr>
                <w:szCs w:val="28"/>
              </w:rPr>
              <w:t>статья 14</w:t>
            </w:r>
            <w:r w:rsidR="002F6EE0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2F6EE0">
              <w:rPr>
                <w:szCs w:val="28"/>
              </w:rPr>
              <w:t xml:space="preserve"> 1</w:t>
            </w:r>
          </w:p>
        </w:tc>
        <w:tc>
          <w:tcPr>
            <w:tcW w:w="6746" w:type="dxa"/>
          </w:tcPr>
          <w:p w:rsidR="008E10AF" w:rsidRPr="008E10AF" w:rsidRDefault="008E10AF" w:rsidP="000D7C4A">
            <w:pPr>
              <w:rPr>
                <w:rFonts w:cs="Times New Roman"/>
                <w:szCs w:val="28"/>
              </w:rPr>
            </w:pPr>
            <w:r w:rsidRPr="008E10AF">
              <w:rPr>
                <w:rFonts w:cs="Times New Roman"/>
                <w:szCs w:val="28"/>
              </w:rPr>
              <w:t>З</w:t>
            </w:r>
            <w:r w:rsidRPr="008E10AF">
              <w:rPr>
                <w:rFonts w:cs="Times New Roman"/>
                <w:color w:val="000000"/>
                <w:szCs w:val="28"/>
                <w:shd w:val="clear" w:color="auto" w:fill="FFFFFF"/>
              </w:rPr>
              <w:t>акладная на момент ее выдачи первоначальному залогодержателю органом, осуществляющим государственную регистрацию прав, должна содержать … подтвержденную заключением оценщика денежную оценку имущества, на которое установлена ипотека.</w:t>
            </w:r>
          </w:p>
        </w:tc>
      </w:tr>
      <w:tr w:rsidR="008E10AF" w:rsidTr="008E10AF">
        <w:trPr>
          <w:cantSplit/>
        </w:trPr>
        <w:tc>
          <w:tcPr>
            <w:tcW w:w="3936" w:type="dxa"/>
          </w:tcPr>
          <w:p w:rsidR="008E10AF" w:rsidRDefault="008E10AF" w:rsidP="00661F63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16.07.1998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102-ФЗ «Об ипотеке (залоге недвижимости)»</w:t>
            </w:r>
            <w:r>
              <w:rPr>
                <w:szCs w:val="28"/>
              </w:rPr>
              <w:t xml:space="preserve">, </w:t>
            </w:r>
            <w:r w:rsidR="00CF21A9">
              <w:rPr>
                <w:szCs w:val="28"/>
              </w:rPr>
              <w:t xml:space="preserve">глава 12, </w:t>
            </w:r>
            <w:r>
              <w:rPr>
                <w:szCs w:val="28"/>
              </w:rPr>
              <w:t>статья 70</w:t>
            </w:r>
            <w:r w:rsidR="00432179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432179">
              <w:rPr>
                <w:szCs w:val="28"/>
              </w:rPr>
              <w:t xml:space="preserve"> 3</w:t>
            </w:r>
          </w:p>
        </w:tc>
        <w:tc>
          <w:tcPr>
            <w:tcW w:w="6746" w:type="dxa"/>
          </w:tcPr>
          <w:p w:rsidR="00432179" w:rsidRPr="00432179" w:rsidRDefault="00432179" w:rsidP="00432179">
            <w:pPr>
              <w:shd w:val="clear" w:color="auto" w:fill="FFFFFF"/>
              <w:ind w:firstLine="544"/>
              <w:rPr>
                <w:rFonts w:eastAsia="Times New Roman" w:cs="Times New Roman"/>
                <w:szCs w:val="27"/>
                <w:lang w:eastAsia="ru-RU"/>
              </w:rPr>
            </w:pPr>
            <w:r w:rsidRPr="00432179">
              <w:rPr>
                <w:rFonts w:eastAsia="Times New Roman" w:cs="Times New Roman"/>
                <w:szCs w:val="27"/>
                <w:lang w:eastAsia="ru-RU"/>
              </w:rPr>
              <w:t>Состав передаваемого в ипотеку относящегося к предприятию имущества и оценка его стоимости определяются на основе полной инвентаризации данного имущества. Акт инвентаризации, бухгалтерский баланс и заключение независимого аудитора о составе и стоимости имущества, относящегося к предприятию, являются обязательными приложениями к договору об ипотеке.</w:t>
            </w:r>
          </w:p>
          <w:p w:rsidR="008E10AF" w:rsidRPr="00432179" w:rsidRDefault="00432179" w:rsidP="00432179">
            <w:pPr>
              <w:shd w:val="clear" w:color="auto" w:fill="FFFFFF"/>
              <w:ind w:firstLine="544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432179">
              <w:rPr>
                <w:rFonts w:eastAsia="Times New Roman" w:cs="Times New Roman"/>
                <w:szCs w:val="27"/>
                <w:lang w:eastAsia="ru-RU"/>
              </w:rPr>
              <w:t xml:space="preserve"> В </w:t>
            </w:r>
            <w:proofErr w:type="gramStart"/>
            <w:r w:rsidRPr="00432179">
              <w:rPr>
                <w:rFonts w:eastAsia="Times New Roman" w:cs="Times New Roman"/>
                <w:szCs w:val="27"/>
                <w:lang w:eastAsia="ru-RU"/>
              </w:rPr>
              <w:t>случаях</w:t>
            </w:r>
            <w:proofErr w:type="gramEnd"/>
            <w:r w:rsidRPr="00432179">
              <w:rPr>
                <w:rFonts w:eastAsia="Times New Roman" w:cs="Times New Roman"/>
                <w:szCs w:val="27"/>
                <w:lang w:eastAsia="ru-RU"/>
              </w:rPr>
              <w:t>, если проведение оценки является обязательным в силу</w:t>
            </w:r>
            <w:r w:rsidRPr="00432179">
              <w:rPr>
                <w:rFonts w:eastAsia="Times New Roman" w:cs="Times New Roman"/>
                <w:lang w:eastAsia="ru-RU"/>
              </w:rPr>
              <w:t> закона</w:t>
            </w:r>
            <w:r w:rsidRPr="00432179">
              <w:rPr>
                <w:rFonts w:eastAsia="Times New Roman" w:cs="Times New Roman"/>
                <w:szCs w:val="27"/>
                <w:lang w:eastAsia="ru-RU"/>
              </w:rPr>
              <w:t>, отчет об оценке имущества, относящегося к предприятию, также является обязательным приложением к договору.</w:t>
            </w:r>
          </w:p>
        </w:tc>
      </w:tr>
      <w:tr w:rsidR="008E10AF" w:rsidTr="008E10AF">
        <w:trPr>
          <w:cantSplit/>
        </w:trPr>
        <w:tc>
          <w:tcPr>
            <w:tcW w:w="3936" w:type="dxa"/>
          </w:tcPr>
          <w:p w:rsidR="008E10AF" w:rsidRDefault="008E10AF">
            <w:pPr>
              <w:ind w:firstLine="0"/>
            </w:pPr>
            <w:r>
              <w:rPr>
                <w:szCs w:val="28"/>
              </w:rPr>
              <w:t>Федеральный закон</w:t>
            </w:r>
            <w:r w:rsidRPr="00CA6B0E">
              <w:rPr>
                <w:szCs w:val="28"/>
              </w:rPr>
              <w:t xml:space="preserve"> от 22.04.1996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39-ФЗ «О рынке ценных бумаг»</w:t>
            </w:r>
            <w:r>
              <w:rPr>
                <w:szCs w:val="28"/>
              </w:rPr>
              <w:t xml:space="preserve">, </w:t>
            </w:r>
            <w:r w:rsidR="00CF21A9">
              <w:rPr>
                <w:szCs w:val="28"/>
              </w:rPr>
              <w:t xml:space="preserve">раздел 3, глава 5, </w:t>
            </w:r>
            <w:r>
              <w:rPr>
                <w:szCs w:val="28"/>
              </w:rPr>
              <w:t>статья 27.3</w:t>
            </w:r>
          </w:p>
        </w:tc>
        <w:tc>
          <w:tcPr>
            <w:tcW w:w="6746" w:type="dxa"/>
          </w:tcPr>
          <w:p w:rsidR="007A794C" w:rsidRPr="007A794C" w:rsidRDefault="007A794C" w:rsidP="000D7C4A">
            <w:r w:rsidRPr="007A794C">
              <w:t>Предметом залога по облигациям с залоговым обеспечением могут быть только ценные бумаги и недвижимое имущество.</w:t>
            </w:r>
          </w:p>
          <w:p w:rsidR="008E10AF" w:rsidRPr="007A794C" w:rsidRDefault="007A794C" w:rsidP="000D7C4A">
            <w:r w:rsidRPr="007A794C">
              <w:t>Имущество, являющееся предметом залога по облигациям с залоговым обеспечением, подлежит оценке оценщиком.</w:t>
            </w:r>
          </w:p>
        </w:tc>
      </w:tr>
      <w:tr w:rsidR="007A794C" w:rsidTr="005C6735">
        <w:trPr>
          <w:cantSplit/>
        </w:trPr>
        <w:tc>
          <w:tcPr>
            <w:tcW w:w="10682" w:type="dxa"/>
            <w:gridSpan w:val="2"/>
          </w:tcPr>
          <w:p w:rsidR="007A794C" w:rsidRDefault="000D7C4A" w:rsidP="00831729">
            <w:pPr>
              <w:pStyle w:val="a4"/>
              <w:numPr>
                <w:ilvl w:val="0"/>
                <w:numId w:val="2"/>
              </w:numPr>
            </w:pPr>
            <w:r>
              <w:t xml:space="preserve">Банкротство </w:t>
            </w:r>
            <w:r w:rsidR="00831729">
              <w:t>гражданина.</w:t>
            </w:r>
          </w:p>
        </w:tc>
      </w:tr>
      <w:tr w:rsidR="00924D1D" w:rsidTr="00453801">
        <w:trPr>
          <w:cantSplit/>
        </w:trPr>
        <w:tc>
          <w:tcPr>
            <w:tcW w:w="3936" w:type="dxa"/>
          </w:tcPr>
          <w:p w:rsidR="00924D1D" w:rsidRDefault="00924D1D">
            <w:pPr>
              <w:ind w:firstLine="0"/>
            </w:pPr>
            <w:r>
              <w:rPr>
                <w:szCs w:val="28"/>
              </w:rPr>
              <w:t>Федеральный закон</w:t>
            </w:r>
            <w:r w:rsidRPr="00CA6B0E">
              <w:rPr>
                <w:szCs w:val="28"/>
              </w:rPr>
              <w:t xml:space="preserve"> от 26.10.2002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127-ФЗ «О несостоятельности (банкротстве)»</w:t>
            </w:r>
            <w:r>
              <w:rPr>
                <w:szCs w:val="28"/>
              </w:rPr>
              <w:t>,</w:t>
            </w:r>
            <w:r w:rsidR="00D73C66">
              <w:rPr>
                <w:szCs w:val="28"/>
              </w:rPr>
              <w:t xml:space="preserve"> глава 10, параграф 1,</w:t>
            </w:r>
            <w:r>
              <w:rPr>
                <w:szCs w:val="28"/>
              </w:rPr>
              <w:t xml:space="preserve"> статья 207,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1</w:t>
            </w:r>
          </w:p>
        </w:tc>
        <w:tc>
          <w:tcPr>
            <w:tcW w:w="6746" w:type="dxa"/>
          </w:tcPr>
          <w:p w:rsidR="00924D1D" w:rsidRPr="00924D1D" w:rsidRDefault="00924D1D" w:rsidP="00924D1D">
            <w:pPr>
              <w:rPr>
                <w:rFonts w:cs="Times New Roman"/>
              </w:rPr>
            </w:pPr>
            <w:r w:rsidRPr="00924D1D">
              <w:rPr>
                <w:rFonts w:cs="Times New Roman"/>
                <w:color w:val="000000"/>
                <w:szCs w:val="27"/>
                <w:shd w:val="clear" w:color="auto" w:fill="FFFFFF"/>
              </w:rPr>
              <w:t>Временный управляющий до рассмотрения арбитражным судом дела о банкротстве обеспечивает проведение оценки имущества должника.</w:t>
            </w:r>
          </w:p>
        </w:tc>
      </w:tr>
      <w:tr w:rsidR="00883CB1" w:rsidTr="00D50D02">
        <w:trPr>
          <w:cantSplit/>
        </w:trPr>
        <w:tc>
          <w:tcPr>
            <w:tcW w:w="10682" w:type="dxa"/>
            <w:gridSpan w:val="2"/>
          </w:tcPr>
          <w:p w:rsidR="00883CB1" w:rsidRDefault="00831729" w:rsidP="00831729">
            <w:pPr>
              <w:pStyle w:val="a4"/>
              <w:numPr>
                <w:ilvl w:val="0"/>
                <w:numId w:val="2"/>
              </w:numPr>
            </w:pPr>
            <w:r>
              <w:t>Оценка для целей наследования</w:t>
            </w:r>
          </w:p>
        </w:tc>
      </w:tr>
      <w:tr w:rsidR="00831729" w:rsidTr="00EA48E9">
        <w:trPr>
          <w:cantSplit/>
        </w:trPr>
        <w:tc>
          <w:tcPr>
            <w:tcW w:w="3936" w:type="dxa"/>
          </w:tcPr>
          <w:p w:rsidR="00831729" w:rsidRDefault="00371E81">
            <w:pPr>
              <w:ind w:firstLine="0"/>
            </w:pPr>
            <w:r>
              <w:t>Гражданский Кодекс</w:t>
            </w:r>
            <w:r w:rsidR="00831729">
              <w:t xml:space="preserve"> Российской Федерации, </w:t>
            </w:r>
            <w:r>
              <w:t>часть третья</w:t>
            </w:r>
            <w:r w:rsidR="00A0312C">
              <w:t>, раздел 5, глава 61</w:t>
            </w:r>
            <w:r>
              <w:t xml:space="preserve"> </w:t>
            </w:r>
            <w:r w:rsidR="00831729">
              <w:t>статья 1115</w:t>
            </w:r>
          </w:p>
        </w:tc>
        <w:tc>
          <w:tcPr>
            <w:tcW w:w="6746" w:type="dxa"/>
          </w:tcPr>
          <w:p w:rsidR="00831729" w:rsidRPr="00831729" w:rsidRDefault="00831729" w:rsidP="00831729">
            <w:r w:rsidRPr="00831729">
              <w:t> Если наследственное имущество находится в разных местах, местом открытия наследства является место нахождения входящих в его состав недвижимого имущества или наиболее ценной части недвижимого имущества, а при отсутствии недвижимого имущества - место нахождения движимого имущества или его наиболее ценной части. Ценность имущества определяется исходя из его рыночной стоимости.</w:t>
            </w:r>
          </w:p>
        </w:tc>
      </w:tr>
      <w:tr w:rsidR="00831729" w:rsidTr="008A2AA8">
        <w:trPr>
          <w:cantSplit/>
        </w:trPr>
        <w:tc>
          <w:tcPr>
            <w:tcW w:w="3936" w:type="dxa"/>
          </w:tcPr>
          <w:p w:rsidR="00831729" w:rsidRDefault="00371E81">
            <w:pPr>
              <w:ind w:firstLine="0"/>
            </w:pPr>
            <w:r>
              <w:t>Гражданский Кодекс</w:t>
            </w:r>
            <w:r w:rsidR="00831729">
              <w:t xml:space="preserve"> Российской Федерации,</w:t>
            </w:r>
            <w:r>
              <w:t xml:space="preserve"> часть третья</w:t>
            </w:r>
            <w:r w:rsidR="00A0312C">
              <w:t>, раздел 5, глава 64,</w:t>
            </w:r>
            <w:r w:rsidR="00831729">
              <w:t xml:space="preserve"> статья 1172</w:t>
            </w:r>
          </w:p>
        </w:tc>
        <w:tc>
          <w:tcPr>
            <w:tcW w:w="6746" w:type="dxa"/>
          </w:tcPr>
          <w:p w:rsidR="00831729" w:rsidRPr="00371E81" w:rsidRDefault="00831729" w:rsidP="00371E81">
            <w:r w:rsidRPr="00371E81">
              <w:t xml:space="preserve">При отсутствии соглашения </w:t>
            </w:r>
            <w:r w:rsidR="00371E81">
              <w:t xml:space="preserve">между наследниками </w:t>
            </w:r>
            <w:r w:rsidRPr="00371E81">
              <w:t xml:space="preserve">оценка наследственного имущества или той его части, в </w:t>
            </w:r>
            <w:r w:rsidR="00371E81">
              <w:t xml:space="preserve">отношении которой соглашение не </w:t>
            </w:r>
            <w:r w:rsidRPr="00371E81">
              <w:t>достигнуто, производится независимым оценщиком.</w:t>
            </w:r>
          </w:p>
        </w:tc>
      </w:tr>
      <w:tr w:rsidR="00371E81" w:rsidTr="00A943FF">
        <w:trPr>
          <w:cantSplit/>
        </w:trPr>
        <w:tc>
          <w:tcPr>
            <w:tcW w:w="10682" w:type="dxa"/>
            <w:gridSpan w:val="2"/>
          </w:tcPr>
          <w:p w:rsidR="00371E81" w:rsidRDefault="00371E81" w:rsidP="00371E81">
            <w:pPr>
              <w:pStyle w:val="a4"/>
              <w:numPr>
                <w:ilvl w:val="0"/>
                <w:numId w:val="2"/>
              </w:numPr>
            </w:pPr>
            <w:r>
              <w:t>Оценка земли</w:t>
            </w:r>
          </w:p>
        </w:tc>
      </w:tr>
      <w:tr w:rsidR="00D73C66" w:rsidTr="005A2359">
        <w:trPr>
          <w:cantSplit/>
        </w:trPr>
        <w:tc>
          <w:tcPr>
            <w:tcW w:w="3936" w:type="dxa"/>
          </w:tcPr>
          <w:p w:rsidR="00D73C66" w:rsidRDefault="00D73C66" w:rsidP="00D73C66">
            <w:pPr>
              <w:ind w:firstLine="0"/>
            </w:pPr>
            <w:r w:rsidRPr="00CA6B0E">
              <w:rPr>
                <w:szCs w:val="28"/>
              </w:rPr>
              <w:lastRenderedPageBreak/>
              <w:t>Земельн</w:t>
            </w:r>
            <w:r>
              <w:rPr>
                <w:szCs w:val="28"/>
              </w:rPr>
              <w:t>ый кодекс</w:t>
            </w:r>
            <w:r w:rsidRPr="00CA6B0E">
              <w:rPr>
                <w:szCs w:val="28"/>
              </w:rPr>
              <w:t xml:space="preserve"> РФ</w:t>
            </w:r>
            <w:r>
              <w:rPr>
                <w:szCs w:val="28"/>
              </w:rPr>
              <w:t xml:space="preserve">, глава 10, статья 66,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1</w:t>
            </w:r>
          </w:p>
        </w:tc>
        <w:tc>
          <w:tcPr>
            <w:tcW w:w="6746" w:type="dxa"/>
          </w:tcPr>
          <w:p w:rsidR="00D73C66" w:rsidRDefault="00D73C66" w:rsidP="00D73C66">
            <w:r w:rsidRPr="00D73C66">
              <w:t>Рыночная стоимость земельного участка устанавливается в соответствии с федеральным законом об оценочной деятельности.</w:t>
            </w:r>
          </w:p>
        </w:tc>
      </w:tr>
      <w:tr w:rsidR="00D73C66" w:rsidTr="005A2359">
        <w:trPr>
          <w:cantSplit/>
        </w:trPr>
        <w:tc>
          <w:tcPr>
            <w:tcW w:w="3936" w:type="dxa"/>
          </w:tcPr>
          <w:p w:rsidR="00D73C66" w:rsidRDefault="00D73C66" w:rsidP="00FD0545">
            <w:pPr>
              <w:ind w:firstLine="0"/>
            </w:pPr>
            <w:r w:rsidRPr="00CA6B0E">
              <w:rPr>
                <w:szCs w:val="28"/>
              </w:rPr>
              <w:t>Земельн</w:t>
            </w:r>
            <w:r>
              <w:rPr>
                <w:szCs w:val="28"/>
              </w:rPr>
              <w:t>ый кодекс</w:t>
            </w:r>
            <w:r w:rsidRPr="00CA6B0E">
              <w:rPr>
                <w:szCs w:val="28"/>
              </w:rPr>
              <w:t xml:space="preserve"> РФ</w:t>
            </w:r>
            <w:r>
              <w:rPr>
                <w:szCs w:val="28"/>
              </w:rPr>
              <w:t xml:space="preserve">, глава 10, статья 66,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D73C66" w:rsidRPr="00D73C66" w:rsidRDefault="00D73C66" w:rsidP="00D73C66">
            <w:r w:rsidRPr="00D73C66">
              <w:t>Для установления кадастровой стоимости земельных участков проводится государственная кадастровая оценка земель. Государственная кадастровая оценка земель проводится в соответствии с законодательством Российской Федерации об оценочной деятельности.</w:t>
            </w:r>
          </w:p>
          <w:p w:rsidR="00D73C66" w:rsidRDefault="00D73C66" w:rsidP="00D73C66">
            <w:r w:rsidRPr="00D73C66">
              <w:t>Органы исполнительной власти субъектов Российской Федерации утверждают средний уровень кадастровой стоимости по муниципальному району (городскому округу).</w:t>
            </w:r>
          </w:p>
        </w:tc>
      </w:tr>
      <w:tr w:rsidR="00D73C66" w:rsidTr="005A2359">
        <w:trPr>
          <w:cantSplit/>
        </w:trPr>
        <w:tc>
          <w:tcPr>
            <w:tcW w:w="3936" w:type="dxa"/>
          </w:tcPr>
          <w:p w:rsidR="00D73C66" w:rsidRDefault="00D73C66" w:rsidP="00D73C66">
            <w:pPr>
              <w:ind w:firstLine="0"/>
            </w:pPr>
            <w:r w:rsidRPr="00CA6B0E">
              <w:rPr>
                <w:szCs w:val="28"/>
              </w:rPr>
              <w:t>Земельн</w:t>
            </w:r>
            <w:r>
              <w:rPr>
                <w:szCs w:val="28"/>
              </w:rPr>
              <w:t>ый кодекс</w:t>
            </w:r>
            <w:r w:rsidRPr="00CA6B0E">
              <w:rPr>
                <w:szCs w:val="28"/>
              </w:rPr>
              <w:t xml:space="preserve"> РФ</w:t>
            </w:r>
            <w:r>
              <w:rPr>
                <w:szCs w:val="28"/>
              </w:rPr>
              <w:t xml:space="preserve">, глава 10, статья 66,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3</w:t>
            </w:r>
          </w:p>
        </w:tc>
        <w:tc>
          <w:tcPr>
            <w:tcW w:w="6746" w:type="dxa"/>
          </w:tcPr>
          <w:p w:rsidR="00D73C66" w:rsidRDefault="00D73C66" w:rsidP="00D73C66">
            <w:r w:rsidRPr="00D73C66">
              <w:t xml:space="preserve">В </w:t>
            </w:r>
            <w:proofErr w:type="gramStart"/>
            <w:r w:rsidRPr="00D73C66">
              <w:t>случаях</w:t>
            </w:r>
            <w:proofErr w:type="gramEnd"/>
            <w:r w:rsidRPr="00D73C66">
              <w:t xml:space="preserve"> определения рыночной стоимости земельного участка кадастровая стоимость этого земельного участка устанавливается равной его рыночной стоимости.</w:t>
            </w:r>
          </w:p>
        </w:tc>
      </w:tr>
      <w:tr w:rsidR="00D73C66" w:rsidTr="009A39D9">
        <w:trPr>
          <w:cantSplit/>
        </w:trPr>
        <w:tc>
          <w:tcPr>
            <w:tcW w:w="3936" w:type="dxa"/>
          </w:tcPr>
          <w:p w:rsidR="00D73C66" w:rsidRDefault="00D73C66">
            <w:pPr>
              <w:ind w:firstLine="0"/>
            </w:pPr>
            <w:r>
              <w:rPr>
                <w:szCs w:val="28"/>
              </w:rPr>
              <w:t>Постановление</w:t>
            </w:r>
            <w:r w:rsidRPr="00CA6B0E">
              <w:rPr>
                <w:szCs w:val="28"/>
              </w:rPr>
              <w:t xml:space="preserve"> Правительства РФ от 11.11.2002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808 «Правила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</w:t>
            </w:r>
            <w:r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3</w:t>
            </w:r>
          </w:p>
        </w:tc>
        <w:tc>
          <w:tcPr>
            <w:tcW w:w="6746" w:type="dxa"/>
          </w:tcPr>
          <w:p w:rsidR="00D73C66" w:rsidRPr="00D73C66" w:rsidRDefault="00D73C66" w:rsidP="00D73C66">
            <w:proofErr w:type="gramStart"/>
            <w:r w:rsidRPr="00D73C66">
              <w:t>При продаже находящихся в федеральной собственности земельных участков или права на заключение договоров аренды таких земельных участков Министерство имущественных отношений Российской Федерации, в отношении земель, предоставленных для нужд Вооруженных Сил Российской Федерации, - Министерство обороны Российской Федерации, а в отношении земель, предоставленных Управлению делами Президента Российской Федерации и его подведомственным организациям, - Управление делами Президента Российской Федерации … определяет на основании отчета независимого</w:t>
            </w:r>
            <w:proofErr w:type="gramEnd"/>
            <w:r w:rsidRPr="00D73C66">
              <w:t xml:space="preserve"> оценщика, составленного в соответствии с законодательством Российской Федерации об оценочной деятельности, начальную цену земельного участка или начальный размер арендной платы, величину их повышения ("шаг аукциона") при проведен</w:t>
            </w:r>
            <w:proofErr w:type="gramStart"/>
            <w:r w:rsidRPr="00D73C66">
              <w:t>ии ау</w:t>
            </w:r>
            <w:proofErr w:type="gramEnd"/>
            <w:r w:rsidRPr="00D73C66">
              <w:t>кциона, открытого по форме подачи предложений о цене или размере арендной платы, а также размер задатка.</w:t>
            </w:r>
          </w:p>
        </w:tc>
      </w:tr>
      <w:tr w:rsidR="00D73C66" w:rsidTr="006E27DA">
        <w:trPr>
          <w:cantSplit/>
        </w:trPr>
        <w:tc>
          <w:tcPr>
            <w:tcW w:w="3936" w:type="dxa"/>
          </w:tcPr>
          <w:p w:rsidR="00D73C66" w:rsidRDefault="00D73C66" w:rsidP="00371E81">
            <w:pPr>
              <w:ind w:firstLine="0"/>
            </w:pPr>
            <w:r w:rsidRPr="00CA6B0E">
              <w:rPr>
                <w:szCs w:val="28"/>
              </w:rPr>
              <w:t>Гражданск</w:t>
            </w:r>
            <w:r>
              <w:rPr>
                <w:szCs w:val="28"/>
              </w:rPr>
              <w:t>ий</w:t>
            </w:r>
            <w:r w:rsidRPr="00CA6B0E">
              <w:rPr>
                <w:szCs w:val="28"/>
              </w:rPr>
              <w:t xml:space="preserve"> к</w:t>
            </w:r>
            <w:r>
              <w:rPr>
                <w:szCs w:val="28"/>
              </w:rPr>
              <w:t>одекс</w:t>
            </w:r>
            <w:r w:rsidRPr="00CA6B0E">
              <w:rPr>
                <w:szCs w:val="28"/>
              </w:rPr>
              <w:t xml:space="preserve"> РФ</w:t>
            </w:r>
            <w:r>
              <w:rPr>
                <w:szCs w:val="28"/>
              </w:rPr>
              <w:t>, часть первая, раздел 2, глава 17, статья 281</w:t>
            </w:r>
          </w:p>
        </w:tc>
        <w:tc>
          <w:tcPr>
            <w:tcW w:w="6746" w:type="dxa"/>
          </w:tcPr>
          <w:p w:rsidR="00D73C66" w:rsidRPr="00A0312C" w:rsidRDefault="00D73C66" w:rsidP="00A0312C">
            <w:r w:rsidRPr="00A0312C">
              <w:t>При определении выкупной цены в нее включаются рыночная стоимость земельного участка и находящегося на нем недвижимого имущества, а также все убытки, причиненные собственнику изъятием земельного участка, включая убытки, которые он несет в связи с досрочным прекращением своих обязательств перед третьими лицами, в том числе упущенную выгоду.</w:t>
            </w:r>
          </w:p>
        </w:tc>
      </w:tr>
      <w:tr w:rsidR="00D73C66" w:rsidTr="00855A02">
        <w:trPr>
          <w:cantSplit/>
        </w:trPr>
        <w:tc>
          <w:tcPr>
            <w:tcW w:w="3936" w:type="dxa"/>
          </w:tcPr>
          <w:p w:rsidR="00D73C66" w:rsidRDefault="00D73C66" w:rsidP="00371E81">
            <w:pPr>
              <w:ind w:firstLine="0"/>
            </w:pPr>
            <w:r>
              <w:rPr>
                <w:szCs w:val="28"/>
              </w:rPr>
              <w:lastRenderedPageBreak/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15.04.1998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66-ФЗ «О садоводческих, огороднических и дачных некоммерческих объединениях граждан»</w:t>
            </w:r>
            <w:r>
              <w:rPr>
                <w:szCs w:val="28"/>
              </w:rPr>
              <w:t>, глава 9, статья 42</w:t>
            </w:r>
          </w:p>
        </w:tc>
        <w:tc>
          <w:tcPr>
            <w:tcW w:w="6746" w:type="dxa"/>
          </w:tcPr>
          <w:p w:rsidR="00D73C66" w:rsidRPr="00D73C66" w:rsidRDefault="00D73C66" w:rsidP="00D73C66">
            <w:proofErr w:type="gramStart"/>
            <w:r w:rsidRPr="00D73C66">
              <w:t>При определении выкупной цены земельного участка и находящегося на нем недвижимого имущества садоводческого, огороднического или дачного некоммерческого объединения в нее включаются</w:t>
            </w:r>
            <w:r>
              <w:t xml:space="preserve"> рыночная </w:t>
            </w:r>
            <w:r w:rsidRPr="00D73C66">
              <w:t>стоимость</w:t>
            </w:r>
            <w:r>
              <w:t xml:space="preserve"> </w:t>
            </w:r>
            <w:r w:rsidRPr="00D73C66">
              <w:t>указанных земельного участка и имущества, а также все убытки, причиненные собственнику указанных земельного участка и имущества их изъятием, в том числе убытки, которые собственник несет в связи с досрочным прекращением своих обязательств перед третьими лицами, в том</w:t>
            </w:r>
            <w:proofErr w:type="gramEnd"/>
            <w:r w:rsidRPr="00D73C66">
              <w:t xml:space="preserve"> </w:t>
            </w:r>
            <w:proofErr w:type="gramStart"/>
            <w:r w:rsidRPr="00D73C66">
              <w:t>числе</w:t>
            </w:r>
            <w:proofErr w:type="gramEnd"/>
            <w:r w:rsidRPr="00D73C66">
              <w:t xml:space="preserve"> упущенную выгоду.</w:t>
            </w:r>
          </w:p>
        </w:tc>
      </w:tr>
      <w:tr w:rsidR="00CF21A9" w:rsidTr="009541A4">
        <w:trPr>
          <w:cantSplit/>
        </w:trPr>
        <w:tc>
          <w:tcPr>
            <w:tcW w:w="10682" w:type="dxa"/>
            <w:gridSpan w:val="2"/>
          </w:tcPr>
          <w:p w:rsidR="00CF21A9" w:rsidRDefault="00CF21A9" w:rsidP="00CF21A9">
            <w:pPr>
              <w:pStyle w:val="a4"/>
              <w:numPr>
                <w:ilvl w:val="0"/>
                <w:numId w:val="2"/>
              </w:numPr>
            </w:pPr>
            <w:r w:rsidRPr="00CF21A9">
              <w:rPr>
                <w:szCs w:val="28"/>
              </w:rPr>
              <w:t>При управлении пенсионными резервами и при инвестировании средств пенсионных накоплений</w:t>
            </w:r>
          </w:p>
        </w:tc>
      </w:tr>
      <w:tr w:rsidR="00CF21A9" w:rsidTr="004A0E5F">
        <w:trPr>
          <w:cantSplit/>
        </w:trPr>
        <w:tc>
          <w:tcPr>
            <w:tcW w:w="3936" w:type="dxa"/>
          </w:tcPr>
          <w:p w:rsidR="00CF21A9" w:rsidRDefault="00CF21A9" w:rsidP="00CF21A9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07.05.1998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75-ФЗ</w:t>
            </w:r>
            <w:r>
              <w:rPr>
                <w:szCs w:val="28"/>
              </w:rPr>
              <w:t xml:space="preserve"> «О негосударственных пенсионных фондах», глава 6, статья 25,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6</w:t>
            </w:r>
          </w:p>
        </w:tc>
        <w:tc>
          <w:tcPr>
            <w:tcW w:w="6746" w:type="dxa"/>
          </w:tcPr>
          <w:p w:rsidR="00CF21A9" w:rsidRPr="00FF35F8" w:rsidRDefault="00CF21A9" w:rsidP="00FF35F8">
            <w:r w:rsidRPr="00FF35F8">
              <w:t xml:space="preserve">Оценка недвижимого имущества, а также иного имущества, предусмотренного нормативными актами Банка России, в </w:t>
            </w:r>
            <w:proofErr w:type="gramStart"/>
            <w:r w:rsidRPr="00FF35F8">
              <w:t>которое</w:t>
            </w:r>
            <w:proofErr w:type="gramEnd"/>
            <w:r w:rsidRPr="00FF35F8">
              <w:t xml:space="preserve"> размещаются средства пенсионных резервов, осуществляется на основании договора с лицом, определенным советом директоров (наблюдательным советом) фонда. Копия отчета об оценке указанного имущества представляется в специализированный депозитарий фонда и Банк России.</w:t>
            </w:r>
            <w:r w:rsidR="00FF35F8" w:rsidRPr="00FF35F8">
              <w:t xml:space="preserve"> </w:t>
            </w:r>
            <w:r w:rsidRPr="00FF35F8">
              <w:t xml:space="preserve">При этом оценка имущества должна осуществляться при его приобретении, а также не реже одного раза в год, если иная периодичность не установлена нормативными актами Банка России. </w:t>
            </w:r>
          </w:p>
        </w:tc>
      </w:tr>
      <w:tr w:rsidR="00FF35F8" w:rsidTr="00E15848">
        <w:trPr>
          <w:cantSplit/>
        </w:trPr>
        <w:tc>
          <w:tcPr>
            <w:tcW w:w="10682" w:type="dxa"/>
            <w:gridSpan w:val="2"/>
          </w:tcPr>
          <w:p w:rsidR="00FF35F8" w:rsidRDefault="00FF35F8" w:rsidP="00FF35F8">
            <w:pPr>
              <w:pStyle w:val="a4"/>
              <w:numPr>
                <w:ilvl w:val="0"/>
                <w:numId w:val="2"/>
              </w:numPr>
            </w:pPr>
            <w:r w:rsidRPr="00FF35F8">
              <w:rPr>
                <w:szCs w:val="28"/>
              </w:rPr>
              <w:t>При соглашениях о разделе продукции</w:t>
            </w:r>
          </w:p>
        </w:tc>
      </w:tr>
      <w:tr w:rsidR="00FF35F8" w:rsidTr="00A06A10">
        <w:trPr>
          <w:cantSplit/>
        </w:trPr>
        <w:tc>
          <w:tcPr>
            <w:tcW w:w="3936" w:type="dxa"/>
          </w:tcPr>
          <w:p w:rsidR="00FF35F8" w:rsidRDefault="00FF35F8" w:rsidP="00FF35F8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30.12.1995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225-ФЗ «О </w:t>
            </w:r>
            <w:proofErr w:type="gramStart"/>
            <w:r w:rsidRPr="00CA6B0E">
              <w:rPr>
                <w:szCs w:val="28"/>
              </w:rPr>
              <w:t>соглашениях</w:t>
            </w:r>
            <w:proofErr w:type="gramEnd"/>
            <w:r w:rsidRPr="00CA6B0E">
              <w:rPr>
                <w:szCs w:val="28"/>
              </w:rPr>
              <w:t xml:space="preserve"> о разделе продукции»</w:t>
            </w:r>
            <w:r>
              <w:rPr>
                <w:szCs w:val="28"/>
              </w:rPr>
              <w:t>, глава 1, статья 2</w:t>
            </w:r>
            <w:r w:rsidR="00972575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972575">
              <w:rPr>
                <w:szCs w:val="28"/>
              </w:rPr>
              <w:t xml:space="preserve"> 4</w:t>
            </w:r>
          </w:p>
        </w:tc>
        <w:tc>
          <w:tcPr>
            <w:tcW w:w="6746" w:type="dxa"/>
          </w:tcPr>
          <w:p w:rsidR="00FF35F8" w:rsidRPr="00FF35F8" w:rsidRDefault="00FF35F8" w:rsidP="00FF35F8">
            <w:proofErr w:type="spellStart"/>
            <w:proofErr w:type="gramStart"/>
            <w:r w:rsidRPr="00FF35F8">
              <w:t>Недропользователь</w:t>
            </w:r>
            <w:proofErr w:type="spellEnd"/>
            <w:r w:rsidRPr="00FF35F8">
              <w:t xml:space="preserve"> до даты проведения аукциона обязан представить в органы, выдавшие лицензию на пользование недрами, отчет об оценке имущественного комплекса, неразрывно связанного с осуществлением права пользования недрами, произведенный независимым оценщиком, осуществляющим свою деятельность в соответствии с законодательством Российской Федерации, и проект договора о продаже имущественного комплекса в целом или его части.</w:t>
            </w:r>
            <w:proofErr w:type="gramEnd"/>
          </w:p>
        </w:tc>
      </w:tr>
      <w:tr w:rsidR="00FF35F8" w:rsidTr="000852FC">
        <w:trPr>
          <w:cantSplit/>
        </w:trPr>
        <w:tc>
          <w:tcPr>
            <w:tcW w:w="10682" w:type="dxa"/>
            <w:gridSpan w:val="2"/>
          </w:tcPr>
          <w:p w:rsidR="00FF35F8" w:rsidRDefault="00FF35F8" w:rsidP="00FF35F8">
            <w:pPr>
              <w:pStyle w:val="a4"/>
              <w:numPr>
                <w:ilvl w:val="0"/>
                <w:numId w:val="2"/>
              </w:numPr>
            </w:pPr>
            <w:r w:rsidRPr="00FF35F8">
              <w:rPr>
                <w:szCs w:val="28"/>
              </w:rPr>
              <w:t>Оценка активов акционерных инвестиционных фондов и активов паевых инвестиционных фондов</w:t>
            </w:r>
          </w:p>
        </w:tc>
      </w:tr>
      <w:tr w:rsidR="00FF35F8" w:rsidTr="00083C90">
        <w:trPr>
          <w:cantSplit/>
        </w:trPr>
        <w:tc>
          <w:tcPr>
            <w:tcW w:w="3936" w:type="dxa"/>
          </w:tcPr>
          <w:p w:rsidR="00FF35F8" w:rsidRDefault="00FF35F8" w:rsidP="00FF35F8">
            <w:pPr>
              <w:ind w:firstLine="0"/>
            </w:pPr>
            <w:r>
              <w:rPr>
                <w:szCs w:val="28"/>
              </w:rPr>
              <w:lastRenderedPageBreak/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29.11.2001 </w:t>
            </w:r>
            <w:r>
              <w:rPr>
                <w:szCs w:val="28"/>
              </w:rPr>
              <w:t xml:space="preserve">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156-ФЗ «Об инвестиционных фондах»</w:t>
            </w:r>
            <w:r>
              <w:rPr>
                <w:szCs w:val="28"/>
              </w:rPr>
              <w:t>,</w:t>
            </w:r>
            <w:r w:rsidR="00972575">
              <w:rPr>
                <w:szCs w:val="28"/>
              </w:rPr>
              <w:t xml:space="preserve"> глава 7,</w:t>
            </w:r>
            <w:r>
              <w:rPr>
                <w:szCs w:val="28"/>
              </w:rPr>
              <w:t xml:space="preserve"> статья 37</w:t>
            </w:r>
            <w:r w:rsidR="00972575">
              <w:rPr>
                <w:szCs w:val="28"/>
              </w:rPr>
              <w:t xml:space="preserve">, </w:t>
            </w:r>
            <w:r w:rsidR="005405AB">
              <w:rPr>
                <w:szCs w:val="28"/>
              </w:rPr>
              <w:t>часть</w:t>
            </w:r>
            <w:r w:rsidR="00972575"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FF35F8" w:rsidRDefault="00972575">
            <w:pPr>
              <w:ind w:firstLine="0"/>
            </w:pPr>
            <w:r>
              <w:t xml:space="preserve">Оценка недвижимого имущества, прав на недвижимое имущество, иного предусмотренного нормативными </w:t>
            </w:r>
            <w:r>
              <w:rPr>
                <w:rStyle w:val="r"/>
              </w:rPr>
              <w:t>актами</w:t>
            </w:r>
            <w:r>
              <w:t xml:space="preserve"> Банка России имущества, принадлежащего акционерному инвестиционному фонду или составляющего паевой инвестиционный фонд, осуществляется оценщиком, определенным советом директоров (наблюдательным советом) акционерного инвестиционного фонда или указанным в правилах доверительного управления паевым инвестиционным фондом.</w:t>
            </w:r>
          </w:p>
        </w:tc>
      </w:tr>
      <w:tr w:rsidR="00FF35F8" w:rsidTr="00565C11">
        <w:trPr>
          <w:cantSplit/>
        </w:trPr>
        <w:tc>
          <w:tcPr>
            <w:tcW w:w="10682" w:type="dxa"/>
            <w:gridSpan w:val="2"/>
          </w:tcPr>
          <w:p w:rsidR="00FF35F8" w:rsidRDefault="00FF35F8" w:rsidP="00FF35F8">
            <w:pPr>
              <w:pStyle w:val="a4"/>
              <w:numPr>
                <w:ilvl w:val="0"/>
                <w:numId w:val="2"/>
              </w:numPr>
            </w:pPr>
            <w:r w:rsidRPr="00CA6B0E">
              <w:rPr>
                <w:szCs w:val="28"/>
              </w:rPr>
              <w:t>При определении размера страховой выплаты</w:t>
            </w:r>
          </w:p>
        </w:tc>
      </w:tr>
      <w:tr w:rsidR="00075451" w:rsidTr="0038030E">
        <w:trPr>
          <w:cantSplit/>
        </w:trPr>
        <w:tc>
          <w:tcPr>
            <w:tcW w:w="3936" w:type="dxa"/>
          </w:tcPr>
          <w:p w:rsidR="00075451" w:rsidRDefault="00075451" w:rsidP="009B6A8C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 закон</w:t>
            </w:r>
            <w:r w:rsidRPr="00CA6B0E">
              <w:rPr>
                <w:szCs w:val="28"/>
              </w:rPr>
              <w:t xml:space="preserve"> от 25.04.200</w:t>
            </w:r>
            <w:r>
              <w:rPr>
                <w:szCs w:val="28"/>
              </w:rPr>
              <w:t>2</w:t>
            </w:r>
            <w:r w:rsidRPr="00CA6B0E">
              <w:rPr>
                <w:szCs w:val="28"/>
              </w:rPr>
              <w:t xml:space="preserve">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40-ФЗ «Об обязательном страховании гражданской ответственности владельцев транспортных средств»</w:t>
            </w:r>
            <w:r>
              <w:rPr>
                <w:szCs w:val="28"/>
              </w:rPr>
              <w:t xml:space="preserve">, </w:t>
            </w:r>
            <w:r w:rsidR="009B6A8C">
              <w:rPr>
                <w:szCs w:val="28"/>
              </w:rPr>
              <w:t xml:space="preserve">глава 2, </w:t>
            </w:r>
            <w:r>
              <w:rPr>
                <w:szCs w:val="28"/>
              </w:rPr>
              <w:t xml:space="preserve">статья 12,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2</w:t>
            </w:r>
          </w:p>
        </w:tc>
        <w:tc>
          <w:tcPr>
            <w:tcW w:w="6746" w:type="dxa"/>
          </w:tcPr>
          <w:p w:rsidR="00075451" w:rsidRPr="009B6A8C" w:rsidRDefault="009B6A8C" w:rsidP="009B6A8C">
            <w:r w:rsidRPr="009B6A8C">
              <w:t>При причинении вреда имуществу потерпевший, намеренный воспользоваться своим правом на страховую выплату, обязан представить поврежденное имущество или его остатки страховщику для осмотра и (или) организации независимой экспертизы (оценки) в целях выяснения обстоятель</w:t>
            </w:r>
            <w:proofErr w:type="gramStart"/>
            <w:r w:rsidRPr="009B6A8C">
              <w:t>ств пр</w:t>
            </w:r>
            <w:proofErr w:type="gramEnd"/>
            <w:r w:rsidRPr="009B6A8C">
              <w:t>ичинения вреда и определения размера подлежащих возмещению убытков.</w:t>
            </w:r>
          </w:p>
        </w:tc>
      </w:tr>
      <w:tr w:rsidR="00FF35F8" w:rsidTr="00074EBF">
        <w:trPr>
          <w:cantSplit/>
        </w:trPr>
        <w:tc>
          <w:tcPr>
            <w:tcW w:w="10682" w:type="dxa"/>
            <w:gridSpan w:val="2"/>
          </w:tcPr>
          <w:p w:rsidR="00FF35F8" w:rsidRDefault="00FF35F8" w:rsidP="00FF35F8">
            <w:pPr>
              <w:pStyle w:val="a4"/>
              <w:numPr>
                <w:ilvl w:val="0"/>
                <w:numId w:val="2"/>
              </w:numPr>
            </w:pPr>
            <w:r w:rsidRPr="00CA6B0E">
              <w:rPr>
                <w:szCs w:val="28"/>
              </w:rPr>
              <w:t>Оценка акций, долей, паев преобразуемой коммерческой организации</w:t>
            </w:r>
          </w:p>
        </w:tc>
      </w:tr>
      <w:tr w:rsidR="00075451" w:rsidTr="00A04EE1">
        <w:trPr>
          <w:cantSplit/>
        </w:trPr>
        <w:tc>
          <w:tcPr>
            <w:tcW w:w="3936" w:type="dxa"/>
          </w:tcPr>
          <w:p w:rsidR="00075451" w:rsidRDefault="00075451" w:rsidP="00FF35F8">
            <w:pPr>
              <w:ind w:firstLine="0"/>
            </w:pPr>
            <w:r>
              <w:rPr>
                <w:szCs w:val="28"/>
              </w:rPr>
              <w:t>Ф</w:t>
            </w:r>
            <w:r w:rsidRPr="00CA6B0E">
              <w:rPr>
                <w:szCs w:val="28"/>
              </w:rPr>
              <w:t>едеральн</w:t>
            </w:r>
            <w:r>
              <w:rPr>
                <w:szCs w:val="28"/>
              </w:rPr>
              <w:t>ый</w:t>
            </w:r>
            <w:r w:rsidRPr="00CA6B0E">
              <w:rPr>
                <w:szCs w:val="28"/>
              </w:rPr>
              <w:t xml:space="preserve"> закон от 19.07.1998 года </w:t>
            </w:r>
            <w:r w:rsidRPr="00CA6B0E">
              <w:rPr>
                <w:szCs w:val="28"/>
                <w:lang w:val="en-US"/>
              </w:rPr>
              <w:t>N</w:t>
            </w:r>
            <w:r w:rsidRPr="00CA6B0E">
              <w:rPr>
                <w:szCs w:val="28"/>
              </w:rPr>
              <w:t xml:space="preserve"> 115-ФЗ «Об особенностях правового положения акционерных обществ работников (народных предприятий</w:t>
            </w:r>
            <w:r>
              <w:rPr>
                <w:szCs w:val="28"/>
              </w:rPr>
              <w:t>)</w:t>
            </w:r>
            <w:r w:rsidRPr="00CA6B0E">
              <w:rPr>
                <w:szCs w:val="28"/>
              </w:rPr>
              <w:t>»</w:t>
            </w:r>
            <w:r>
              <w:rPr>
                <w:szCs w:val="28"/>
              </w:rPr>
              <w:t xml:space="preserve">, статья 3, </w:t>
            </w:r>
            <w:r w:rsidR="005405AB">
              <w:rPr>
                <w:szCs w:val="28"/>
              </w:rPr>
              <w:t>часть</w:t>
            </w:r>
            <w:r>
              <w:rPr>
                <w:szCs w:val="28"/>
              </w:rPr>
              <w:t xml:space="preserve"> 1</w:t>
            </w:r>
          </w:p>
        </w:tc>
        <w:tc>
          <w:tcPr>
            <w:tcW w:w="6746" w:type="dxa"/>
          </w:tcPr>
          <w:p w:rsidR="00075451" w:rsidRPr="009B6A8C" w:rsidRDefault="009B6A8C" w:rsidP="009B6A8C">
            <w:r w:rsidRPr="009B6A8C">
              <w:t xml:space="preserve">Договор о создании народного предприятия помимо сведений, указанных в </w:t>
            </w:r>
            <w:proofErr w:type="spellStart"/>
            <w:r w:rsidR="005405AB">
              <w:t>часть</w:t>
            </w:r>
            <w:r w:rsidRPr="009B6A8C">
              <w:t>е</w:t>
            </w:r>
            <w:proofErr w:type="spellEnd"/>
            <w:r w:rsidRPr="009B6A8C">
              <w:t xml:space="preserve"> 5 статьи 9 Федерального закона "Об акционерных обществах", должен содержать … денежную оценку акций (долей, паев) преобразуемой коммерческой организации.</w:t>
            </w:r>
          </w:p>
        </w:tc>
      </w:tr>
    </w:tbl>
    <w:p w:rsidR="00155031" w:rsidRDefault="00155031">
      <w:bookmarkStart w:id="0" w:name="_GoBack"/>
      <w:bookmarkEnd w:id="0"/>
    </w:p>
    <w:sectPr w:rsidR="00155031" w:rsidSect="00F716AF">
      <w:pgSz w:w="11906" w:h="16838"/>
      <w:pgMar w:top="720" w:right="720" w:bottom="720" w:left="720" w:header="709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BBD"/>
    <w:multiLevelType w:val="hybridMultilevel"/>
    <w:tmpl w:val="1ECCF1DC"/>
    <w:lvl w:ilvl="0" w:tplc="380A5CE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E3C35"/>
    <w:multiLevelType w:val="hybridMultilevel"/>
    <w:tmpl w:val="FAEA8BF0"/>
    <w:lvl w:ilvl="0" w:tplc="3DFEAAE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74026"/>
    <w:multiLevelType w:val="hybridMultilevel"/>
    <w:tmpl w:val="5F525FBE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36BF0"/>
    <w:multiLevelType w:val="hybridMultilevel"/>
    <w:tmpl w:val="E944720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4E4F"/>
    <w:multiLevelType w:val="hybridMultilevel"/>
    <w:tmpl w:val="05AAA00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313DA"/>
    <w:multiLevelType w:val="hybridMultilevel"/>
    <w:tmpl w:val="ABE27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23614"/>
    <w:multiLevelType w:val="hybridMultilevel"/>
    <w:tmpl w:val="CD3AB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6432E"/>
    <w:multiLevelType w:val="hybridMultilevel"/>
    <w:tmpl w:val="21122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47564D"/>
    <w:multiLevelType w:val="hybridMultilevel"/>
    <w:tmpl w:val="E5C67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A78F0"/>
    <w:multiLevelType w:val="hybridMultilevel"/>
    <w:tmpl w:val="03C02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D7A48"/>
    <w:multiLevelType w:val="hybridMultilevel"/>
    <w:tmpl w:val="03C02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716AF"/>
    <w:rsid w:val="00006056"/>
    <w:rsid w:val="0002411B"/>
    <w:rsid w:val="000318DA"/>
    <w:rsid w:val="000466C6"/>
    <w:rsid w:val="00067E86"/>
    <w:rsid w:val="00075451"/>
    <w:rsid w:val="000D7C4A"/>
    <w:rsid w:val="001275CE"/>
    <w:rsid w:val="00155031"/>
    <w:rsid w:val="001A78C8"/>
    <w:rsid w:val="001D0EDE"/>
    <w:rsid w:val="002103BE"/>
    <w:rsid w:val="002F6EE0"/>
    <w:rsid w:val="003257F3"/>
    <w:rsid w:val="00344D37"/>
    <w:rsid w:val="0034579E"/>
    <w:rsid w:val="003608AD"/>
    <w:rsid w:val="00371E81"/>
    <w:rsid w:val="003C15EA"/>
    <w:rsid w:val="003E1771"/>
    <w:rsid w:val="00432179"/>
    <w:rsid w:val="00524DB1"/>
    <w:rsid w:val="005405AB"/>
    <w:rsid w:val="00581143"/>
    <w:rsid w:val="00632FD5"/>
    <w:rsid w:val="0064151B"/>
    <w:rsid w:val="00670E22"/>
    <w:rsid w:val="006970EF"/>
    <w:rsid w:val="006C14B9"/>
    <w:rsid w:val="006C78F5"/>
    <w:rsid w:val="0070465D"/>
    <w:rsid w:val="00731042"/>
    <w:rsid w:val="00741C74"/>
    <w:rsid w:val="007479E0"/>
    <w:rsid w:val="0078422B"/>
    <w:rsid w:val="007A303D"/>
    <w:rsid w:val="007A794C"/>
    <w:rsid w:val="007C0130"/>
    <w:rsid w:val="007C1F35"/>
    <w:rsid w:val="00800797"/>
    <w:rsid w:val="00807535"/>
    <w:rsid w:val="00826E3D"/>
    <w:rsid w:val="00831729"/>
    <w:rsid w:val="008376C0"/>
    <w:rsid w:val="00883CB1"/>
    <w:rsid w:val="00896DA1"/>
    <w:rsid w:val="008E10AF"/>
    <w:rsid w:val="00924D1D"/>
    <w:rsid w:val="00941D4D"/>
    <w:rsid w:val="00972575"/>
    <w:rsid w:val="009B6A8C"/>
    <w:rsid w:val="00A0312C"/>
    <w:rsid w:val="00A06B30"/>
    <w:rsid w:val="00AF5C67"/>
    <w:rsid w:val="00B07B4F"/>
    <w:rsid w:val="00B2548B"/>
    <w:rsid w:val="00B6043C"/>
    <w:rsid w:val="00C3244F"/>
    <w:rsid w:val="00CB68B7"/>
    <w:rsid w:val="00CD1A95"/>
    <w:rsid w:val="00CF21A9"/>
    <w:rsid w:val="00D25FC7"/>
    <w:rsid w:val="00D369BF"/>
    <w:rsid w:val="00D37356"/>
    <w:rsid w:val="00D73C66"/>
    <w:rsid w:val="00DA6756"/>
    <w:rsid w:val="00EF5CE0"/>
    <w:rsid w:val="00F716AF"/>
    <w:rsid w:val="00F76357"/>
    <w:rsid w:val="00FB0632"/>
    <w:rsid w:val="00FF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6A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16A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415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4151B"/>
  </w:style>
  <w:style w:type="character" w:customStyle="1" w:styleId="blk">
    <w:name w:val="blk"/>
    <w:basedOn w:val="a0"/>
    <w:rsid w:val="001275CE"/>
  </w:style>
  <w:style w:type="character" w:customStyle="1" w:styleId="r">
    <w:name w:val="r"/>
    <w:basedOn w:val="a0"/>
    <w:rsid w:val="001275CE"/>
  </w:style>
  <w:style w:type="paragraph" w:customStyle="1" w:styleId="u">
    <w:name w:val="u"/>
    <w:basedOn w:val="a"/>
    <w:rsid w:val="00DA675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7479E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7479E0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1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9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3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1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7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57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4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62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6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42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0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7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12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5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5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5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5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7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69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2554</Words>
  <Characters>14562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Идиотка</dc:creator>
  <cp:lastModifiedBy>Алексей Юхнин</cp:lastModifiedBy>
  <cp:revision>2</cp:revision>
  <dcterms:created xsi:type="dcterms:W3CDTF">2014-07-23T06:52:00Z</dcterms:created>
  <dcterms:modified xsi:type="dcterms:W3CDTF">2014-07-23T06:52:00Z</dcterms:modified>
</cp:coreProperties>
</file>