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A00B89">
      <w:pPr>
        <w:pStyle w:val="2"/>
        <w:divId w:val="456608282"/>
        <w:rPr>
          <w:rFonts w:ascii="Tahoma" w:eastAsia="Times New Roman" w:hAnsi="Tahoma" w:cs="Tahoma"/>
          <w:sz w:val="29"/>
          <w:szCs w:val="29"/>
        </w:rPr>
      </w:pPr>
      <w:bookmarkStart w:id="0" w:name="A4UG0QEBD3"/>
      <w:bookmarkStart w:id="1" w:name="_GoBack"/>
      <w:bookmarkEnd w:id="0"/>
      <w:bookmarkEnd w:id="1"/>
      <w:r>
        <w:rPr>
          <w:rFonts w:ascii="Tahoma" w:eastAsia="Times New Roman" w:hAnsi="Tahoma" w:cs="Tahoma"/>
          <w:sz w:val="29"/>
          <w:szCs w:val="29"/>
        </w:rPr>
        <w:t>ПОСТАНОВЛЕНИЕ МИНИСТЕРСТВА СПОРТА И ТУРИЗМА РЕСПУБЛИКИ БЕЛАРУСЬ</w:t>
      </w:r>
    </w:p>
    <w:p w:rsidR="00000000" w:rsidRDefault="00A00B89">
      <w:pPr>
        <w:pStyle w:val="doc-info"/>
        <w:divId w:val="4566082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от 4 января 2017 года №1</w:t>
      </w:r>
    </w:p>
    <w:p w:rsidR="00000000" w:rsidRDefault="00A00B89">
      <w:pPr>
        <w:pStyle w:val="dname"/>
        <w:divId w:val="456608282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Об утверждении Инструкции о порядке и условиях создания и функционирования туристических информационных центров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 основании постановления Совета Министров Республики Беларусь от 8 декабря 2016 г. №1007 "О делегировании Министерству спорта и туризма полномочий на принятие нормативного правового акта в сфере туризма" Министерство спорта и туризма Республики Беларусь </w:t>
      </w:r>
      <w:r>
        <w:rPr>
          <w:rFonts w:ascii="Tahoma" w:hAnsi="Tahoma" w:cs="Tahoma"/>
          <w:color w:val="000000"/>
          <w:sz w:val="22"/>
          <w:szCs w:val="22"/>
        </w:rPr>
        <w:t>ПОСТАНОВЛЯЕТ: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1. Утвердить прилагаемую </w:t>
      </w:r>
      <w:hyperlink r:id="rId7" w:anchor="A4UG0Q7OBX" w:tooltip="Ссылка на оглавление: Инструкция о порядке и условиях создания и функционирования туристических информационных центров" w:history="1">
        <w:r>
          <w:rPr>
            <w:rStyle w:val="a4"/>
            <w:rFonts w:ascii="Tahoma" w:hAnsi="Tahoma" w:cs="Tahoma"/>
            <w:sz w:val="22"/>
            <w:szCs w:val="22"/>
          </w:rPr>
          <w:t>Инструкцию о порядке и условиях создания и ф</w:t>
        </w:r>
        <w:r>
          <w:rPr>
            <w:rStyle w:val="a4"/>
            <w:rFonts w:ascii="Tahoma" w:hAnsi="Tahoma" w:cs="Tahoma"/>
            <w:sz w:val="22"/>
            <w:szCs w:val="22"/>
          </w:rPr>
          <w:t>ункционирования туристических информационных центров</w:t>
        </w:r>
      </w:hyperlink>
      <w:r>
        <w:rPr>
          <w:rFonts w:ascii="Tahoma" w:hAnsi="Tahoma" w:cs="Tahoma"/>
          <w:color w:val="000000"/>
          <w:sz w:val="22"/>
          <w:szCs w:val="22"/>
        </w:rPr>
        <w:t>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bookmarkStart w:id="2" w:name="B4UG0QERVM"/>
      <w:bookmarkEnd w:id="2"/>
      <w:r>
        <w:rPr>
          <w:rFonts w:ascii="Tahoma" w:hAnsi="Tahoma" w:cs="Tahoma"/>
          <w:color w:val="000000"/>
          <w:sz w:val="22"/>
          <w:szCs w:val="22"/>
        </w:rPr>
        <w:t>2. Настоящее постановление вступает в силу с 24 января 2017 г.</w:t>
      </w:r>
    </w:p>
    <w:p w:rsidR="00000000" w:rsidRDefault="00A00B89">
      <w:pPr>
        <w:pStyle w:val="a3"/>
        <w:divId w:val="1956132750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Министр </w:t>
      </w:r>
    </w:p>
    <w:p w:rsidR="00000000" w:rsidRDefault="00A00B89">
      <w:pPr>
        <w:pStyle w:val="a3"/>
        <w:divId w:val="1956132750"/>
        <w:rPr>
          <w:rFonts w:ascii="Tahoma" w:hAnsi="Tahoma" w:cs="Tahoma"/>
          <w:color w:val="000000"/>
          <w:sz w:val="22"/>
          <w:szCs w:val="22"/>
        </w:rPr>
      </w:pPr>
      <w:proofErr w:type="spellStart"/>
      <w:r>
        <w:rPr>
          <w:rFonts w:ascii="Tahoma" w:hAnsi="Tahoma" w:cs="Tahoma"/>
          <w:color w:val="000000"/>
          <w:sz w:val="22"/>
          <w:szCs w:val="22"/>
        </w:rPr>
        <w:t>А.И.Шамко</w:t>
      </w:r>
      <w:proofErr w:type="spellEnd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000000">
        <w:trPr>
          <w:divId w:val="456608282"/>
        </w:trPr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Согласовано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Заместителем председателя Брестского областного исполнительного комитета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4 января 2017 года</w:t>
            </w:r>
          </w:p>
        </w:tc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О.И.Велич</w:t>
            </w: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ко</w:t>
            </w:r>
            <w:proofErr w:type="spellEnd"/>
          </w:p>
        </w:tc>
      </w:tr>
    </w:tbl>
    <w:p w:rsidR="00000000" w:rsidRDefault="00A00B89">
      <w:pPr>
        <w:divId w:val="456608282"/>
        <w:rPr>
          <w:rFonts w:ascii="Tahoma" w:eastAsia="Times New Roman" w:hAnsi="Tahoma" w:cs="Tahoma"/>
          <w:vanish/>
          <w:color w:val="000000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000000">
        <w:trPr>
          <w:divId w:val="456608282"/>
        </w:trPr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Согласовано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Заместителем председателя Могилевского областного исполнительного комитета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3 января 2017 года</w:t>
            </w:r>
          </w:p>
        </w:tc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Д.В.Янков</w:t>
            </w:r>
            <w:proofErr w:type="spellEnd"/>
          </w:p>
        </w:tc>
      </w:tr>
    </w:tbl>
    <w:p w:rsidR="00000000" w:rsidRDefault="00A00B89">
      <w:pPr>
        <w:divId w:val="456608282"/>
        <w:rPr>
          <w:rFonts w:ascii="Tahoma" w:eastAsia="Times New Roman" w:hAnsi="Tahoma" w:cs="Tahoma"/>
          <w:vanish/>
          <w:color w:val="000000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000000">
        <w:trPr>
          <w:divId w:val="456608282"/>
        </w:trPr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Согласовано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Первым заместителем председателя Витебского областного исполнительного комитета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30 декабря 2016 года</w:t>
            </w:r>
          </w:p>
        </w:tc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Г.И.Гребнев</w:t>
            </w:r>
            <w:proofErr w:type="spellEnd"/>
          </w:p>
        </w:tc>
      </w:tr>
    </w:tbl>
    <w:p w:rsidR="00000000" w:rsidRDefault="00A00B89">
      <w:pPr>
        <w:divId w:val="456608282"/>
        <w:rPr>
          <w:rFonts w:ascii="Tahoma" w:eastAsia="Times New Roman" w:hAnsi="Tahoma" w:cs="Tahoma"/>
          <w:vanish/>
          <w:color w:val="000000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000000">
        <w:trPr>
          <w:divId w:val="456608282"/>
        </w:trPr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Согласовано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Председателем Минского областного исполнительного комитета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5 января 2017 года</w:t>
            </w:r>
          </w:p>
        </w:tc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С.Б.Шапиро</w:t>
            </w:r>
            <w:proofErr w:type="spellEnd"/>
          </w:p>
        </w:tc>
      </w:tr>
    </w:tbl>
    <w:p w:rsidR="00000000" w:rsidRDefault="00A00B89">
      <w:pPr>
        <w:divId w:val="456608282"/>
        <w:rPr>
          <w:rFonts w:ascii="Tahoma" w:eastAsia="Times New Roman" w:hAnsi="Tahoma" w:cs="Tahoma"/>
          <w:vanish/>
          <w:color w:val="000000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000000">
        <w:trPr>
          <w:divId w:val="456608282"/>
        </w:trPr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Согласовано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Председателем Гомельского областного исполнительного комитета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27 декабря 2016 года</w:t>
            </w:r>
          </w:p>
        </w:tc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В.А.Дворник</w:t>
            </w:r>
            <w:proofErr w:type="spellEnd"/>
          </w:p>
        </w:tc>
      </w:tr>
    </w:tbl>
    <w:p w:rsidR="00000000" w:rsidRDefault="00A00B89">
      <w:pPr>
        <w:divId w:val="456608282"/>
        <w:rPr>
          <w:rFonts w:ascii="Tahoma" w:eastAsia="Times New Roman" w:hAnsi="Tahoma" w:cs="Tahoma"/>
          <w:vanish/>
          <w:color w:val="000000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000000">
        <w:trPr>
          <w:divId w:val="456608282"/>
        </w:trPr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Согласовано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Председателем Минского городского исполнительного комитета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3 января 2017 года</w:t>
            </w:r>
          </w:p>
        </w:tc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А.В.Шорец</w:t>
            </w:r>
            <w:proofErr w:type="spellEnd"/>
          </w:p>
        </w:tc>
      </w:tr>
    </w:tbl>
    <w:p w:rsidR="00000000" w:rsidRDefault="00A00B89">
      <w:pPr>
        <w:divId w:val="456608282"/>
        <w:rPr>
          <w:rFonts w:ascii="Tahoma" w:eastAsia="Times New Roman" w:hAnsi="Tahoma" w:cs="Tahoma"/>
          <w:vanish/>
          <w:color w:val="000000"/>
          <w:sz w:val="22"/>
          <w:szCs w:val="22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52"/>
        <w:gridCol w:w="4753"/>
      </w:tblGrid>
      <w:tr w:rsidR="00000000">
        <w:trPr>
          <w:divId w:val="456608282"/>
        </w:trPr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Согласовано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Председателем Гродненского областного исполнительного комитета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5 января 2017 года</w:t>
            </w:r>
          </w:p>
        </w:tc>
        <w:tc>
          <w:tcPr>
            <w:tcW w:w="2500" w:type="pct"/>
            <w:tcMar>
              <w:top w:w="0" w:type="dxa"/>
              <w:left w:w="0" w:type="dxa"/>
              <w:bottom w:w="150" w:type="dxa"/>
              <w:right w:w="150" w:type="dxa"/>
            </w:tcMar>
            <w:hideMark/>
          </w:tcPr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 </w:t>
            </w:r>
          </w:p>
          <w:p w:rsidR="00000000" w:rsidRDefault="00A00B89">
            <w:pPr>
              <w:jc w:val="both"/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b/>
                <w:bCs/>
                <w:color w:val="000000"/>
                <w:sz w:val="22"/>
                <w:szCs w:val="22"/>
              </w:rPr>
              <w:t>В.В.Кравцов</w:t>
            </w:r>
            <w:proofErr w:type="spellEnd"/>
          </w:p>
        </w:tc>
      </w:tr>
    </w:tbl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p w:rsidR="00000000" w:rsidRDefault="00A00B89">
      <w:pPr>
        <w:pStyle w:val="doc-info"/>
        <w:divId w:val="456608282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Утверждена Постановлением Министерства спорта и туризма Республики Беларусь от 4 января 2017 года №1 </w:t>
      </w:r>
    </w:p>
    <w:p w:rsidR="00000000" w:rsidRDefault="00A00B89">
      <w:pPr>
        <w:pStyle w:val="2"/>
        <w:divId w:val="456608282"/>
        <w:rPr>
          <w:rFonts w:ascii="Tahoma" w:eastAsia="Times New Roman" w:hAnsi="Tahoma" w:cs="Tahoma"/>
          <w:sz w:val="29"/>
          <w:szCs w:val="29"/>
        </w:rPr>
      </w:pPr>
      <w:bookmarkStart w:id="3" w:name="A4UG0Q7OBX"/>
      <w:bookmarkEnd w:id="3"/>
      <w:r>
        <w:rPr>
          <w:rFonts w:ascii="Tahoma" w:eastAsia="Times New Roman" w:hAnsi="Tahoma" w:cs="Tahoma"/>
          <w:sz w:val="29"/>
          <w:szCs w:val="29"/>
        </w:rPr>
        <w:t>Инструкция о порядке и условиях создания и функционирования туристических информационных центров</w:t>
      </w:r>
    </w:p>
    <w:p w:rsidR="00000000" w:rsidRDefault="00A00B89">
      <w:pPr>
        <w:pStyle w:val="4"/>
        <w:divId w:val="456608282"/>
        <w:rPr>
          <w:rFonts w:ascii="Tahoma" w:eastAsia="Times New Roman" w:hAnsi="Tahoma" w:cs="Tahoma"/>
          <w:sz w:val="24"/>
          <w:szCs w:val="24"/>
        </w:rPr>
      </w:pPr>
      <w:bookmarkStart w:id="4" w:name="A4UG0Q8C7O"/>
      <w:bookmarkEnd w:id="4"/>
      <w:r>
        <w:rPr>
          <w:rFonts w:ascii="Tahoma" w:eastAsia="Times New Roman" w:hAnsi="Tahoma" w:cs="Tahoma"/>
          <w:sz w:val="24"/>
          <w:szCs w:val="24"/>
        </w:rPr>
        <w:t>Глава 1. Общие положения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1. Настоящая Инструкция определя</w:t>
      </w:r>
      <w:r>
        <w:rPr>
          <w:rFonts w:ascii="Tahoma" w:hAnsi="Tahoma" w:cs="Tahoma"/>
          <w:color w:val="000000"/>
          <w:sz w:val="22"/>
          <w:szCs w:val="22"/>
        </w:rPr>
        <w:t>ет порядок и условия создания и функционирования туристических информационных центров (далее, если не установлено иное, - ТИЦ).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2. В настоящей Инструкции используются термины и их определения в значениях, установленных </w:t>
      </w:r>
      <w:hyperlink r:id="rId8" w:tooltip="Ссылка на Закон Республики Беларусь О туризме" w:history="1">
        <w:r>
          <w:rPr>
            <w:rStyle w:val="a4"/>
            <w:rFonts w:ascii="Tahoma" w:hAnsi="Tahoma" w:cs="Tahoma"/>
            <w:sz w:val="22"/>
            <w:szCs w:val="22"/>
          </w:rPr>
          <w:t>Законом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от 25 ноября 1999 года "О туризме" (Национальный реестр правовых актов Республики Беларусь, 1999 г., №95, 2/101; 2007 г., №15, 2/1303).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3.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Под ТИЦ понимается организация (структурное</w:t>
      </w:r>
      <w:r>
        <w:rPr>
          <w:rFonts w:ascii="Tahoma" w:hAnsi="Tahoma" w:cs="Tahoma"/>
          <w:color w:val="000000"/>
          <w:sz w:val="22"/>
          <w:szCs w:val="22"/>
        </w:rPr>
        <w:t xml:space="preserve"> подразделение организации, в том числе обособленное), осуществляющая (осуществляющее) сбор, накопление, обработку, анализ и распространение информации о достопримечательностях, памятниках искусства, истории и архитектуры Республики Беларусь, особо охраняе</w:t>
      </w:r>
      <w:r>
        <w:rPr>
          <w:rFonts w:ascii="Tahoma" w:hAnsi="Tahoma" w:cs="Tahoma"/>
          <w:color w:val="000000"/>
          <w:sz w:val="22"/>
          <w:szCs w:val="22"/>
        </w:rPr>
        <w:t xml:space="preserve">мых природных территориях, объектах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агроэкотуризма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предлагаемых экскурсиях, культурно-массовых мероприятиях, выставках, фестивалях, расписании движения транспорта, иной информации, необходимой для субъектов туристической деятельности, участников туристиче</w:t>
      </w:r>
      <w:r>
        <w:rPr>
          <w:rFonts w:ascii="Tahoma" w:hAnsi="Tahoma" w:cs="Tahoma"/>
          <w:color w:val="000000"/>
          <w:sz w:val="22"/>
          <w:szCs w:val="22"/>
        </w:rPr>
        <w:t>ской деятельности.</w:t>
      </w:r>
      <w:proofErr w:type="gramEnd"/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4. ТИЦ создаются с учетом специфики и наличия на территории административно-территориальных единиц Республики Беларусь туристических ресурсов, маршрутов туристических путешествий, туристических зон.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5. ТИЦ создаются в целях содействия ра</w:t>
      </w:r>
      <w:r>
        <w:rPr>
          <w:rFonts w:ascii="Tahoma" w:hAnsi="Tahoma" w:cs="Tahoma"/>
          <w:color w:val="000000"/>
          <w:sz w:val="22"/>
          <w:szCs w:val="22"/>
        </w:rPr>
        <w:t>звитию международного и внутреннего туризма, формирования и распространения информации о Республике Беларусь и ее туристическом потенциале.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6. Задачами ТИЦ являются: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создание условий, способствующих привлечению туристов, экскурсантов в Республику Беларусь;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развитие деловых связей с ТИЦ Республики Беларусь и за ее пределами;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проведение рекламной и маркетинговой деятельности как в Республике Беларусь, так и за ее пределами, направленной на ознакомление с туристическим потенциалом Республики Беларусь;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содейств</w:t>
      </w:r>
      <w:r>
        <w:rPr>
          <w:rFonts w:ascii="Tahoma" w:hAnsi="Tahoma" w:cs="Tahoma"/>
          <w:color w:val="000000"/>
          <w:sz w:val="22"/>
          <w:szCs w:val="22"/>
        </w:rPr>
        <w:t>ие развитию туристической инфраструктуры Республики Беларусь;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пропаганда национальной культуры, традиций и достижений белорусского народа, общечеловеческих ценностей.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7. В соответствии с задачами ТИЦ осуществляют следующие функции: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сотрудничество с междуна</w:t>
      </w:r>
      <w:r>
        <w:rPr>
          <w:rFonts w:ascii="Tahoma" w:hAnsi="Tahoma" w:cs="Tahoma"/>
          <w:color w:val="000000"/>
          <w:sz w:val="22"/>
          <w:szCs w:val="22"/>
        </w:rPr>
        <w:t>родными организациями, государственными органами и организациями, субъектами и участниками туристической деятельности;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организация мероприятий по развитию туризма;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содействие и методическая помощь субъектам туристической деятельности;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подготовка информацио</w:t>
      </w:r>
      <w:r>
        <w:rPr>
          <w:rFonts w:ascii="Tahoma" w:hAnsi="Tahoma" w:cs="Tahoma"/>
          <w:color w:val="000000"/>
          <w:sz w:val="22"/>
          <w:szCs w:val="22"/>
        </w:rPr>
        <w:t>нных и аналитических материалов в сфере туризма;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участие в разработке, совершенствовании и внедрении в практику туристической деятельности современных методов работы;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организация маркетинговых мероприятий, направленных на продвижение туристического потенци</w:t>
      </w:r>
      <w:r>
        <w:rPr>
          <w:rFonts w:ascii="Tahoma" w:hAnsi="Tahoma" w:cs="Tahoma"/>
          <w:color w:val="000000"/>
          <w:sz w:val="22"/>
          <w:szCs w:val="22"/>
        </w:rPr>
        <w:t>ала Республики Беларусь, в том числе за ее пределами;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предоставление актуальной и оперативной информации, в том числе в доступных и пригодных для инвалидов форматах с использованием необходимых технологий, о достопримечательностях, памятниках искусства, ис</w:t>
      </w:r>
      <w:r>
        <w:rPr>
          <w:rFonts w:ascii="Tahoma" w:hAnsi="Tahoma" w:cs="Tahoma"/>
          <w:color w:val="000000"/>
          <w:sz w:val="22"/>
          <w:szCs w:val="22"/>
        </w:rPr>
        <w:t xml:space="preserve">тории и архитектуры Республики Беларусь, особо охраняемых природных территориях, объектах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агроэкотуризма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предлагаемых экскурсиях, культурно-массовых мероприятиях, выставках, фестивалях, расписании движения транспорта, иной информации, необходимой для субъ</w:t>
      </w:r>
      <w:r>
        <w:rPr>
          <w:rFonts w:ascii="Tahoma" w:hAnsi="Tahoma" w:cs="Tahoma"/>
          <w:color w:val="000000"/>
          <w:sz w:val="22"/>
          <w:szCs w:val="22"/>
        </w:rPr>
        <w:t>ектов и участников туристической деятельности;</w:t>
      </w:r>
      <w:proofErr w:type="gramEnd"/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сбор и обработка информации о туристическом потенциале Республики Беларусь, ее административно-территориальных единиц;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взаимодействие со средствами массовой информации с целью формирования и распространения ин</w:t>
      </w:r>
      <w:r>
        <w:rPr>
          <w:rFonts w:ascii="Tahoma" w:hAnsi="Tahoma" w:cs="Tahoma"/>
          <w:color w:val="000000"/>
          <w:sz w:val="22"/>
          <w:szCs w:val="22"/>
        </w:rPr>
        <w:t>формации о Республике Беларусь и ее туристическом потенциале;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изготовление и распространение рекламно-информационной продукции для субъектов и участников туристической деятельности (буклеты, карты, проспекты и иное);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осуществление рекламной и маркетинговой</w:t>
      </w:r>
      <w:r>
        <w:rPr>
          <w:rFonts w:ascii="Tahoma" w:hAnsi="Tahoma" w:cs="Tahoma"/>
          <w:color w:val="000000"/>
          <w:sz w:val="22"/>
          <w:szCs w:val="22"/>
        </w:rPr>
        <w:t xml:space="preserve"> деятельности с целью повышения туристической привлекательности Республики Беларусь, ее административно-территориальных единиц;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предоставление информации о туристическом потенциале Республики Беларусь, ее административно-территориальных единиц участникам туристической деятельности.</w:t>
      </w:r>
    </w:p>
    <w:p w:rsidR="00000000" w:rsidRDefault="00A00B89">
      <w:pPr>
        <w:pStyle w:val="4"/>
        <w:divId w:val="456608282"/>
        <w:rPr>
          <w:rFonts w:ascii="Tahoma" w:eastAsia="Times New Roman" w:hAnsi="Tahoma" w:cs="Tahoma"/>
          <w:sz w:val="24"/>
          <w:szCs w:val="24"/>
        </w:rPr>
      </w:pPr>
      <w:bookmarkStart w:id="5" w:name="A4UG0Q8T68"/>
      <w:bookmarkEnd w:id="5"/>
      <w:r>
        <w:rPr>
          <w:rFonts w:ascii="Tahoma" w:eastAsia="Times New Roman" w:hAnsi="Tahoma" w:cs="Tahoma"/>
          <w:sz w:val="24"/>
          <w:szCs w:val="24"/>
        </w:rPr>
        <w:t>Глава 2. Создание и функционирование ТИЦ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8. ТИЦ создаются местными исполнительными и распорядительным</w:t>
      </w:r>
      <w:r>
        <w:rPr>
          <w:rFonts w:ascii="Tahoma" w:hAnsi="Tahoma" w:cs="Tahoma"/>
          <w:color w:val="000000"/>
          <w:sz w:val="22"/>
          <w:szCs w:val="22"/>
        </w:rPr>
        <w:t>и органами, иными юридическими и физическими лицами в любой организационно-правовой форме, за исключением потребительского, производственного кооперативов, крестьянского (фермерского) хозяйства, в соответствии с законодательством.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ТИЦ могут создаваться в в</w:t>
      </w:r>
      <w:r>
        <w:rPr>
          <w:rFonts w:ascii="Tahoma" w:hAnsi="Tahoma" w:cs="Tahoma"/>
          <w:color w:val="000000"/>
          <w:sz w:val="22"/>
          <w:szCs w:val="22"/>
        </w:rPr>
        <w:t>иде структурного подразделения юридического лица, в том числе обособленного.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9. Финансирование деятельности ТИЦ осуществляется за счет собственных средств, а также из иных источников, не запрещенных законодательством Республики Беларусь.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10. Для достижения</w:t>
      </w:r>
      <w:r>
        <w:rPr>
          <w:rFonts w:ascii="Tahoma" w:hAnsi="Tahoma" w:cs="Tahoma"/>
          <w:color w:val="000000"/>
          <w:sz w:val="22"/>
          <w:szCs w:val="22"/>
        </w:rPr>
        <w:t xml:space="preserve"> целей и задач ТИЦ, являющиеся юридическими лицами, имеют право заниматься всеми видами деятельности, не запрещенными законодательством Республики Беларусь.</w:t>
      </w:r>
    </w:p>
    <w:p w:rsidR="00000000" w:rsidRDefault="00A00B89">
      <w:pPr>
        <w:pStyle w:val="4"/>
        <w:divId w:val="456608282"/>
        <w:rPr>
          <w:rFonts w:ascii="Tahoma" w:eastAsia="Times New Roman" w:hAnsi="Tahoma" w:cs="Tahoma"/>
          <w:sz w:val="24"/>
          <w:szCs w:val="24"/>
        </w:rPr>
      </w:pPr>
      <w:bookmarkStart w:id="6" w:name="A4UG0Q944K"/>
      <w:bookmarkEnd w:id="6"/>
      <w:r>
        <w:rPr>
          <w:rFonts w:ascii="Tahoma" w:eastAsia="Times New Roman" w:hAnsi="Tahoma" w:cs="Tahoma"/>
          <w:sz w:val="24"/>
          <w:szCs w:val="24"/>
        </w:rPr>
        <w:t>Глава 3. Требования к прилегающей территории, зданию (помещению) и режиму работы ТИЦ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11. ТИЦ должны</w:t>
      </w:r>
      <w:r>
        <w:rPr>
          <w:rFonts w:ascii="Tahoma" w:hAnsi="Tahoma" w:cs="Tahoma"/>
          <w:color w:val="000000"/>
          <w:sz w:val="22"/>
          <w:szCs w:val="22"/>
        </w:rPr>
        <w:t xml:space="preserve"> быть обозначены информационным знаком, на зеленом фоне которого расположена буква "i" белого цвета и который размещается на вывеске, информационном стенде (табло) по месту нахождения ТИЦ.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12. ТИЦ располагается, как правило, на первом этаже здания.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Террито</w:t>
      </w:r>
      <w:r>
        <w:rPr>
          <w:rFonts w:ascii="Tahoma" w:hAnsi="Tahoma" w:cs="Tahoma"/>
          <w:color w:val="000000"/>
          <w:sz w:val="22"/>
          <w:szCs w:val="22"/>
        </w:rPr>
        <w:t>рия, прилегающая к зданию, в котором располагается ТИЦ, либо находящаяся в непосредственной близости от него, оборудуется бесплатными парковочными местами, в том числе для парковки транспортных средств инвалидов, обозначенными соответствующими дорожными зн</w:t>
      </w:r>
      <w:r>
        <w:rPr>
          <w:rFonts w:ascii="Tahoma" w:hAnsi="Tahoma" w:cs="Tahoma"/>
          <w:color w:val="000000"/>
          <w:sz w:val="22"/>
          <w:szCs w:val="22"/>
        </w:rPr>
        <w:t>аками и разметкой, велосипедными пандусами для транспорта туристов, экскурсантов.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13. Здание (помещение) ТИЦ оборудуется обеспечивающими возможность индивидуальной работы с туристами, экскурсантами рабочими местами, которые оснащаются персональными компьют</w:t>
      </w:r>
      <w:r>
        <w:rPr>
          <w:rFonts w:ascii="Tahoma" w:hAnsi="Tahoma" w:cs="Tahoma"/>
          <w:color w:val="000000"/>
          <w:sz w:val="22"/>
          <w:szCs w:val="22"/>
        </w:rPr>
        <w:t>ерами и соответствующей оргтехникой, сидячими местами для туристов, экскурсантов, обеспечивается питьевой водой и иными удобствами.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целях беспрепятственного посещения ТИЦ инвалидами и лицами с ограниченными возможностями передвижения с учетом требований </w:t>
      </w:r>
      <w:r>
        <w:rPr>
          <w:rFonts w:ascii="Tahoma" w:hAnsi="Tahoma" w:cs="Tahoma"/>
          <w:color w:val="000000"/>
          <w:sz w:val="22"/>
          <w:szCs w:val="22"/>
        </w:rPr>
        <w:t>технических нормативных правовых актов адаптируются: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здание (помещение) ТИЦ, прилегающая к нему территория, а также пути к объекту от ближайшей остановки пассажирского транспорта;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вход (входы), пути движения внутри здания (помещения) (в том числе пути эвак</w:t>
      </w:r>
      <w:r>
        <w:rPr>
          <w:rFonts w:ascii="Tahoma" w:hAnsi="Tahoma" w:cs="Tahoma"/>
          <w:color w:val="000000"/>
          <w:sz w:val="22"/>
          <w:szCs w:val="22"/>
        </w:rPr>
        <w:t>уации);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зоны целевого назначения (целевого посещения);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санитарно-гигиенические помещения;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система информации (устройства визуальные, акустические и тактильные, средства информации и связи).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14. Прием туристов, экскурсантов в ТИЦ осуществляется в рабочие дн</w:t>
      </w:r>
      <w:r>
        <w:rPr>
          <w:rFonts w:ascii="Tahoma" w:hAnsi="Tahoma" w:cs="Tahoma"/>
          <w:color w:val="000000"/>
          <w:sz w:val="22"/>
          <w:szCs w:val="22"/>
        </w:rPr>
        <w:t>и, государственные праздники, праздничные и выходные дни.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Прием туристов, экскурсантов должен начинаться не позднее 8 часов и завершаться не ранее 20 часов и осуществляться, как правило, без перерыва на обед.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период повышенного спроса на туристические ус</w:t>
      </w:r>
      <w:r>
        <w:rPr>
          <w:rFonts w:ascii="Tahoma" w:hAnsi="Tahoma" w:cs="Tahoma"/>
          <w:color w:val="000000"/>
          <w:sz w:val="22"/>
          <w:szCs w:val="22"/>
        </w:rPr>
        <w:t>луги, в том числе при проведении масштабных спортивно-массовых, физкультурно-оздоровительных, культурных и иных мероприятий, по решению руководителя ТИЦ деятельность ТИЦ может осуществляться круглосуточно.</w:t>
      </w:r>
    </w:p>
    <w:p w:rsidR="00000000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15. На рабочем месте или на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бейдж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-карте работника </w:t>
      </w:r>
      <w:r>
        <w:rPr>
          <w:rFonts w:ascii="Tahoma" w:hAnsi="Tahoma" w:cs="Tahoma"/>
          <w:color w:val="000000"/>
          <w:sz w:val="22"/>
          <w:szCs w:val="22"/>
        </w:rPr>
        <w:t>ТИЦ указывается информация о занимаемой должности, его фамилии, собственном имени, отчестве (если таковое имеется).</w:t>
      </w:r>
    </w:p>
    <w:p w:rsidR="00A00B89" w:rsidRDefault="00A00B89">
      <w:pPr>
        <w:pStyle w:val="a3"/>
        <w:divId w:val="4566082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 </w:t>
      </w:r>
    </w:p>
    <w:sectPr w:rsidR="00A00B89" w:rsidSect="009127A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B89" w:rsidRDefault="00A00B89" w:rsidP="009127A2">
      <w:r>
        <w:separator/>
      </w:r>
    </w:p>
  </w:endnote>
  <w:endnote w:type="continuationSeparator" w:id="0">
    <w:p w:rsidR="00A00B89" w:rsidRDefault="00A00B89" w:rsidP="00912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B89" w:rsidRDefault="00A00B89" w:rsidP="009127A2">
      <w:r>
        <w:separator/>
      </w:r>
    </w:p>
  </w:footnote>
  <w:footnote w:type="continuationSeparator" w:id="0">
    <w:p w:rsidR="00A00B89" w:rsidRDefault="00A00B89" w:rsidP="009127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277634"/>
      <w:docPartObj>
        <w:docPartGallery w:val="Page Numbers (Top of Page)"/>
        <w:docPartUnique/>
      </w:docPartObj>
    </w:sdtPr>
    <w:sdtContent>
      <w:p w:rsidR="009127A2" w:rsidRDefault="009127A2" w:rsidP="009127A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9127A2"/>
    <w:rsid w:val="009127A2"/>
    <w:rsid w:val="00A0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9127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27A2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127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27A2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9127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27A2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9127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27A2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608282">
      <w:bodyDiv w:val="1"/>
      <w:marLeft w:val="0"/>
      <w:marRight w:val="0"/>
      <w:marTop w:val="375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fp:///rgn=1912" TargetMode="External"/><Relationship Id="rId3" Type="http://schemas.openxmlformats.org/officeDocument/2006/relationships/settings" Target="settings.xml"/><Relationship Id="rId7" Type="http://schemas.openxmlformats.org/officeDocument/2006/relationships/hyperlink" Target="vfp:///rgn=9380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1314</Words>
  <Characters>7493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Жусупбекова Шнар Турсыновна</dc:creator>
  <cp:lastModifiedBy>Жусупбекова Шнар Турсыновна</cp:lastModifiedBy>
  <cp:revision>2</cp:revision>
  <dcterms:created xsi:type="dcterms:W3CDTF">2017-05-05T11:21:00Z</dcterms:created>
  <dcterms:modified xsi:type="dcterms:W3CDTF">2017-05-05T11:21:00Z</dcterms:modified>
</cp:coreProperties>
</file>