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148C3" w:rsidRDefault="006655E2">
      <w:pPr>
        <w:pStyle w:val="2"/>
        <w:divId w:val="517550304"/>
        <w:rPr>
          <w:rFonts w:ascii="Tahoma" w:eastAsia="Times New Roman" w:hAnsi="Tahoma" w:cs="Tahoma"/>
          <w:sz w:val="29"/>
          <w:szCs w:val="29"/>
        </w:rPr>
      </w:pPr>
      <w:bookmarkStart w:id="0" w:name="A000000001"/>
      <w:bookmarkEnd w:id="0"/>
      <w:r>
        <w:rPr>
          <w:rFonts w:ascii="Tahoma" w:eastAsia="Times New Roman" w:hAnsi="Tahoma" w:cs="Tahoma"/>
          <w:sz w:val="29"/>
          <w:szCs w:val="29"/>
        </w:rPr>
        <w:t>УКАЗ ПРЕЗИДЕНТА РЕСПУБЛИКИ БЕЛАРУСЬ</w:t>
      </w:r>
    </w:p>
    <w:p w:rsidR="00E148C3" w:rsidRDefault="006655E2">
      <w:pPr>
        <w:pStyle w:val="doc-info"/>
        <w:divId w:val="51755030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2 июня 2006 года №371</w:t>
      </w:r>
    </w:p>
    <w:p w:rsidR="00E148C3" w:rsidRDefault="006655E2">
      <w:pPr>
        <w:pStyle w:val="dname"/>
        <w:divId w:val="517550304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 некоторых мерах государственной поддержки развития туризма в Республике Беларусь</w:t>
      </w:r>
    </w:p>
    <w:p w:rsidR="00E148C3" w:rsidRDefault="006655E2">
      <w:pPr>
        <w:jc w:val="center"/>
        <w:divId w:val="1107001160"/>
        <w:rPr>
          <w:rFonts w:ascii="Tahoma" w:hAnsi="Tahoma" w:cs="Tahoma"/>
          <w:color w:val="008000"/>
          <w:sz w:val="22"/>
          <w:szCs w:val="22"/>
        </w:rPr>
      </w:pPr>
      <w:r>
        <w:rPr>
          <w:rFonts w:ascii="Tahoma" w:hAnsi="Tahoma" w:cs="Tahoma"/>
          <w:color w:val="008000"/>
          <w:sz w:val="22"/>
          <w:szCs w:val="22"/>
        </w:rPr>
        <w:t>(В редакции Указов Президента Республики Беларусь от 15.05.2008 г. №270, 31.03.2009 г. №167, 12.05.2009 г. №241, 09.03.2010 г. №143, 11.07.2012 г. №</w:t>
      </w:r>
      <w:hyperlink r:id="rId7" w:tooltip="Ссылка на Указ Президента Республики Беларусь О некоторых вопросах налогообложения и взимания арендной платы за земельные участки, находящиеся в.." w:history="1">
        <w:r>
          <w:rPr>
            <w:rStyle w:val="a4"/>
            <w:rFonts w:ascii="Tahoma" w:hAnsi="Tahoma" w:cs="Tahoma"/>
            <w:sz w:val="22"/>
            <w:szCs w:val="22"/>
          </w:rPr>
          <w:t>312</w:t>
        </w:r>
      </w:hyperlink>
      <w:r>
        <w:rPr>
          <w:rFonts w:ascii="Tahoma" w:hAnsi="Tahoma" w:cs="Tahoma"/>
          <w:color w:val="008000"/>
          <w:sz w:val="22"/>
          <w:szCs w:val="22"/>
        </w:rPr>
        <w:t>, 06.04.2017 г. №</w:t>
      </w:r>
      <w:hyperlink r:id="rId8" w:tooltip="Ссылка на Указ Президента Республики Беларусь О налогообложении и взимании арендной платы за земельные участки" w:history="1">
        <w:r>
          <w:rPr>
            <w:rStyle w:val="a4"/>
            <w:rFonts w:ascii="Tahoma" w:hAnsi="Tahoma" w:cs="Tahoma"/>
            <w:sz w:val="22"/>
            <w:szCs w:val="22"/>
          </w:rPr>
          <w:t>105</w:t>
        </w:r>
      </w:hyperlink>
      <w:r>
        <w:rPr>
          <w:rFonts w:ascii="Tahoma" w:hAnsi="Tahoma" w:cs="Tahoma"/>
          <w:color w:val="008000"/>
          <w:sz w:val="22"/>
          <w:szCs w:val="22"/>
        </w:rPr>
        <w:t>)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целях создания благоприятных условий для развития туризма в Республике Беларусь: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Установить:</w:t>
      </w:r>
    </w:p>
    <w:p w:rsidR="00E148C3" w:rsidRDefault="00F53BF8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hyperlink r:id="rId9" w:anchor="A000000005" w:tooltip="Ссылка на оглавление: Перечень туристических услуг по организации путешествий туристов в пределах Республики Беларусь, обороты по реализации которых освобождаются от налогообложения налогом на добавленную стоимость" w:history="1">
        <w:r w:rsidR="006655E2">
          <w:rPr>
            <w:rStyle w:val="a4"/>
            <w:rFonts w:ascii="Tahoma" w:hAnsi="Tahoma" w:cs="Tahoma"/>
            <w:sz w:val="22"/>
            <w:szCs w:val="22"/>
          </w:rPr>
          <w:t xml:space="preserve">перечень туристических услуг по организации путешествий туристов в пределах Республики Беларусь, </w:t>
        </w:r>
        <w:proofErr w:type="gramStart"/>
        <w:r w:rsidR="006655E2">
          <w:rPr>
            <w:rStyle w:val="a4"/>
            <w:rFonts w:ascii="Tahoma" w:hAnsi="Tahoma" w:cs="Tahoma"/>
            <w:sz w:val="22"/>
            <w:szCs w:val="22"/>
          </w:rPr>
          <w:t>обороты</w:t>
        </w:r>
        <w:proofErr w:type="gramEnd"/>
        <w:r w:rsidR="006655E2">
          <w:rPr>
            <w:rStyle w:val="a4"/>
            <w:rFonts w:ascii="Tahoma" w:hAnsi="Tahoma" w:cs="Tahoma"/>
            <w:sz w:val="22"/>
            <w:szCs w:val="22"/>
          </w:rPr>
          <w:t xml:space="preserve"> по реализации которых освобождаются от налогообложения налогом на добавленную стоимость</w:t>
        </w:r>
      </w:hyperlink>
      <w:r w:rsidR="006655E2">
        <w:rPr>
          <w:rFonts w:ascii="Tahoma" w:hAnsi="Tahoma" w:cs="Tahoma"/>
          <w:color w:val="000000"/>
          <w:sz w:val="22"/>
          <w:szCs w:val="22"/>
        </w:rPr>
        <w:t>, согласно приложению 1;</w:t>
      </w:r>
    </w:p>
    <w:p w:rsidR="00E148C3" w:rsidRDefault="00F53BF8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hyperlink r:id="rId10" w:anchor="A000000006" w:tooltip="Ссылка на оглавление: Перечень туристических услуг по организации на территории Республики Беларусь экскурсионного обслуживания, обороты по реализации которых освобождаются от налогообложения налогом на добавленную стоимос" w:history="1">
        <w:r w:rsidR="006655E2">
          <w:rPr>
            <w:rStyle w:val="a4"/>
            <w:rFonts w:ascii="Tahoma" w:hAnsi="Tahoma" w:cs="Tahoma"/>
            <w:sz w:val="22"/>
            <w:szCs w:val="22"/>
          </w:rPr>
          <w:t xml:space="preserve">перечень туристических услуг по организации на территории Республики Беларусь экскурсионного обслуживания, </w:t>
        </w:r>
        <w:proofErr w:type="gramStart"/>
        <w:r w:rsidR="006655E2">
          <w:rPr>
            <w:rStyle w:val="a4"/>
            <w:rFonts w:ascii="Tahoma" w:hAnsi="Tahoma" w:cs="Tahoma"/>
            <w:sz w:val="22"/>
            <w:szCs w:val="22"/>
          </w:rPr>
          <w:t>обороты</w:t>
        </w:r>
        <w:proofErr w:type="gramEnd"/>
        <w:r w:rsidR="006655E2">
          <w:rPr>
            <w:rStyle w:val="a4"/>
            <w:rFonts w:ascii="Tahoma" w:hAnsi="Tahoma" w:cs="Tahoma"/>
            <w:sz w:val="22"/>
            <w:szCs w:val="22"/>
          </w:rPr>
          <w:t xml:space="preserve"> по реализации которых освобождаются от налогообложения налогом на добавленную стоимость</w:t>
        </w:r>
      </w:hyperlink>
      <w:r w:rsidR="006655E2">
        <w:rPr>
          <w:rFonts w:ascii="Tahoma" w:hAnsi="Tahoma" w:cs="Tahoma"/>
          <w:color w:val="000000"/>
          <w:sz w:val="22"/>
          <w:szCs w:val="22"/>
        </w:rPr>
        <w:t>, согласно приложению 2.</w:t>
      </w:r>
    </w:p>
    <w:p w:rsidR="00E148C3" w:rsidRDefault="006655E2" w:rsidP="005359D2">
      <w:pPr>
        <w:shd w:val="clear" w:color="auto" w:fill="FFFFFF"/>
        <w:spacing w:before="105"/>
        <w:jc w:val="both"/>
        <w:divId w:val="2581748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1 внесены изменения в соответствии с Указами Президента Республике Беларусь от 11.07.2012 г. №</w:t>
      </w:r>
      <w:hyperlink r:id="rId11" w:tooltip="Ссылка на Указ Президента Республики Беларусь О некоторых вопросах налогообложения и взимания арендной платы за земельные участки, находящиеся в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312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06.04.2017 г. №</w:t>
      </w:r>
      <w:hyperlink r:id="rId12" w:tooltip="Ссылка на Указ Президента Республики Беларусь О налогообложении и взимании арендной платы за земельные участк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105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 w:rsidR="005359D2">
        <w:rPr>
          <w:rFonts w:ascii="Tahoma" w:hAnsi="Tahoma" w:cs="Tahoma"/>
          <w:i/>
          <w:iCs/>
          <w:color w:val="990099"/>
          <w:sz w:val="22"/>
          <w:szCs w:val="22"/>
        </w:rPr>
        <w:t xml:space="preserve">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" w:anchor="B4WE0FR7AT" w:tooltip="Ссылка на редакцию документа от 11/07/2012 :: 1. Установить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pStyle w:val="a3"/>
        <w:spacing w:before="0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r>
        <w:rPr>
          <w:rStyle w:val="imp-comment"/>
          <w:rFonts w:ascii="Tahoma" w:hAnsi="Tahoma" w:cs="Tahoma"/>
          <w:sz w:val="22"/>
          <w:szCs w:val="22"/>
        </w:rPr>
        <w:t>Исключен</w:t>
      </w:r>
    </w:p>
    <w:p w:rsidR="00E148C3" w:rsidRDefault="006655E2">
      <w:pPr>
        <w:pStyle w:val="a3"/>
        <w:spacing w:before="0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06.04.2017 г. №</w:t>
      </w:r>
      <w:hyperlink r:id="rId14" w:tooltip="Ссылка на Указ Президента Республики Беларусь О налогообложении и взимании арендной платы за земельные участки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105</w:t>
        </w:r>
      </w:hyperlink>
    </w:p>
    <w:p w:rsidR="00E148C3" w:rsidRDefault="006655E2">
      <w:pPr>
        <w:shd w:val="clear" w:color="auto" w:fill="FFFFFF"/>
        <w:spacing w:before="105"/>
        <w:jc w:val="both"/>
        <w:divId w:val="162538673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5" w:anchor="B4WE0FR8CI" w:tooltip="Ссылка на редакцию документа от 11/07/2012 :: 3. Денежные средства, высвобождаемые в результате освобождения от налогообложения прибыли организац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Местным Советам депутатов в установленном порядке принимать решения: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4.1. об освобождении индивидуально юридических лиц и индивидуальных предпринимателей от уплаты средств, взимаемых местными исполнительными и распорядительными органами при выдаче разрешительной документации на строительство и (или) реконструкцию объектов туристической индустрии, расположенных: на территории создаваемых в установленном порядке туристических зон согласно схемам их развития, разрабатываемым облисполкомами и Минским горисполкомом и утверждаемым Советом Министров Республики Беларусь;</w:t>
      </w:r>
      <w:proofErr w:type="gramEnd"/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вдоль автомобильных дорог, входящих в международные транспортные коридоры М-1/Е-30 Брест (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Козловичи</w:t>
      </w:r>
      <w:proofErr w:type="spellEnd"/>
      <w:proofErr w:type="gramStart"/>
      <w:r>
        <w:rPr>
          <w:rFonts w:ascii="Tahoma" w:hAnsi="Tahoma" w:cs="Tahoma"/>
          <w:color w:val="000000"/>
          <w:sz w:val="22"/>
          <w:szCs w:val="22"/>
        </w:rPr>
        <w:t>)-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Минск-граница Российской Федерации (Редьки), М-8 граница Российской Федерации (Езерище)-Витебск-Гомель-граница Украины (Новая Гута), М-5 Минск-Гомель, М-7 Минск-Ошмяны-граница Литовской Республики (Каменный Лог), Р-1 Минск-Дзержинск, согласно схемам развития дорожного сервиса на магистральных дорогах Республики Беларусь, утверждаемым в установленном порядке;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на территории государственных природоохранных учреждений "Национальный парк "Беловежская пуща", "Национальный парк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Браславские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озера", "Национальный парк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Нарочанский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", "Национальный парк "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Припятский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", "Березинский государственный биосферный заповедник", а также белорусской части Августовского канала, городов Несвижа, Полоцка, Турова;</w:t>
      </w:r>
      <w:proofErr w:type="gramEnd"/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4.2. о снижении ставок земельного налога на земельные участки, предоставляемые для строительства и (или) реконструкции объектов туристической индустрии, указанных в подпункте 4.1 настоящего пункта.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5. Установить, что инвестиции, направленные на развитие объектов туристической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индустрии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как в процессе строительства, так и после ввода их в эксплуатацию, не могут быть безвозмездно национализированы, реквизированы, к ним также не могут быть применены меры, равные указанн</w:t>
      </w:r>
      <w:bookmarkStart w:id="1" w:name="_GoBack"/>
      <w:bookmarkEnd w:id="1"/>
      <w:r>
        <w:rPr>
          <w:rFonts w:ascii="Tahoma" w:hAnsi="Tahoma" w:cs="Tahoma"/>
          <w:color w:val="000000"/>
          <w:sz w:val="22"/>
          <w:szCs w:val="22"/>
        </w:rPr>
        <w:t>ым по последствиям.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Совету Министров Республики Беларусь в трехмесячный срок обеспечить приведение актов законодательства в соответствие с данным Указом.</w:t>
      </w:r>
    </w:p>
    <w:p w:rsidR="00E148C3" w:rsidRDefault="006655E2">
      <w:pPr>
        <w:shd w:val="clear" w:color="auto" w:fill="FFFFFF"/>
        <w:spacing w:before="105"/>
        <w:jc w:val="both"/>
        <w:divId w:val="181070596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(Пункт 6 изложен в новой редакции в соответствии с Указом Президента Республике Беларусь от 11.07.2012 г. №</w:t>
      </w:r>
      <w:hyperlink r:id="rId16" w:tooltip="Ссылка на Указ Президента Республики Беларусь О некоторых вопросах налогообложения и взимания арендной платы за земельные участки, находящиеся в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312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shd w:val="clear" w:color="auto" w:fill="FFFFFF"/>
        <w:spacing w:before="105"/>
        <w:jc w:val="both"/>
        <w:divId w:val="15545398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7" w:anchor="B3KN0ZJG7O" w:tooltip="Ссылка на редакцию документа от 09/03/2010 :: 6. Совету Министров Республики Беларусь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bookmarkStart w:id="2" w:name="B4WE0FTKHY"/>
      <w:bookmarkEnd w:id="2"/>
      <w:r>
        <w:rPr>
          <w:rFonts w:ascii="Tahoma" w:hAnsi="Tahoma" w:cs="Tahoma"/>
          <w:color w:val="000000"/>
          <w:sz w:val="22"/>
          <w:szCs w:val="22"/>
        </w:rPr>
        <w:t>7. Настоящий Указ вступает в силу со дня его официального опубликования.</w:t>
      </w:r>
    </w:p>
    <w:p w:rsidR="00E148C3" w:rsidRDefault="006655E2">
      <w:pPr>
        <w:pStyle w:val="a3"/>
        <w:divId w:val="41578894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Президент Республики Беларусь </w:t>
      </w:r>
    </w:p>
    <w:p w:rsidR="00E148C3" w:rsidRDefault="006655E2">
      <w:pPr>
        <w:pStyle w:val="a3"/>
        <w:divId w:val="415788942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А.Лукашенко</w:t>
      </w:r>
      <w:proofErr w:type="spellEnd"/>
    </w:p>
    <w:p w:rsidR="00E148C3" w:rsidRDefault="006655E2">
      <w:pPr>
        <w:pStyle w:val="dname"/>
        <w:divId w:val="517550304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 xml:space="preserve">Приложение 1 </w:t>
      </w:r>
    </w:p>
    <w:p w:rsidR="00E148C3" w:rsidRDefault="006655E2">
      <w:pPr>
        <w:pStyle w:val="doc-info"/>
        <w:divId w:val="51755030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Указу Президента Республики Беларусь от 2 июня 2006 года №371</w:t>
      </w:r>
    </w:p>
    <w:p w:rsidR="00E148C3" w:rsidRDefault="006655E2">
      <w:pPr>
        <w:pStyle w:val="2"/>
        <w:divId w:val="517550304"/>
        <w:rPr>
          <w:rFonts w:ascii="Tahoma" w:eastAsia="Times New Roman" w:hAnsi="Tahoma" w:cs="Tahoma"/>
          <w:sz w:val="29"/>
          <w:szCs w:val="29"/>
        </w:rPr>
      </w:pPr>
      <w:bookmarkStart w:id="3" w:name="A000000005"/>
      <w:bookmarkEnd w:id="3"/>
      <w:r>
        <w:rPr>
          <w:rFonts w:ascii="Tahoma" w:eastAsia="Times New Roman" w:hAnsi="Tahoma" w:cs="Tahoma"/>
          <w:sz w:val="29"/>
          <w:szCs w:val="29"/>
        </w:rPr>
        <w:t xml:space="preserve">Перечень туристических услуг по организации путешествий туристов в пределах Республики Беларусь, </w:t>
      </w:r>
      <w:proofErr w:type="gramStart"/>
      <w:r>
        <w:rPr>
          <w:rFonts w:ascii="Tahoma" w:eastAsia="Times New Roman" w:hAnsi="Tahoma" w:cs="Tahoma"/>
          <w:sz w:val="29"/>
          <w:szCs w:val="29"/>
        </w:rPr>
        <w:t>обороты</w:t>
      </w:r>
      <w:proofErr w:type="gramEnd"/>
      <w:r>
        <w:rPr>
          <w:rFonts w:ascii="Tahoma" w:eastAsia="Times New Roman" w:hAnsi="Tahoma" w:cs="Tahoma"/>
          <w:sz w:val="29"/>
          <w:szCs w:val="29"/>
        </w:rPr>
        <w:t xml:space="preserve"> по реализации которых освобождаются от налогообложения налогом на добавленную стоимость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Услуги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турагентов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и туроператоров по организации комплексного туристического обслуживания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Услуги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турагентов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и туроператоров по организации размещения, питания туристов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перевозок туристов различными видами транспорта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спортивных, познавательных, оздоровительных, экскурсионных, культурно-зрелищных мероприятий в соответствии с программой туристического путешествия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туристические информационные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бронированию и (или) продаже ме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ст в тр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анспортных средствах, ресторанах, местах временного проживания, прокату автомобилей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оформлению выездных документов на маршруты туристического путешествия по зарубежным странам (услуги визовой поддержки, услуги по доставке документов в консульские учреждения, услуги по медицинскому страхованию туристов)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встреч туристов в аэропорту, включая бронирование VIP-зала, услуги сопровождающего лица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охоты и рыбалки</w:t>
      </w:r>
    </w:p>
    <w:p w:rsidR="00E148C3" w:rsidRDefault="006655E2">
      <w:pPr>
        <w:shd w:val="clear" w:color="auto" w:fill="FFFFFF"/>
        <w:spacing w:before="105"/>
        <w:jc w:val="both"/>
        <w:divId w:val="9484395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(Приложение 1 изложено в новой редакции в соответствии с Указом Президента Республике Беларусь от 11.07.2012 г. №</w:t>
      </w:r>
      <w:hyperlink r:id="rId18" w:tooltip="Ссылка на Указ Президента Республики Беларусь О некоторых вопросах налогообложения и взимания арендной платы за земельные участки, находящиеся в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312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shd w:val="clear" w:color="auto" w:fill="FFFFFF"/>
        <w:spacing w:before="105"/>
        <w:jc w:val="both"/>
        <w:divId w:val="10530447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9" w:anchor="A000000005" w:tooltip="Ссылка на редакцию документа от 09/03/2010 :: Перечень туристических услуг по организации путешествий иностранных туристов в пределах Республики 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pStyle w:val="dname"/>
        <w:divId w:val="517550304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 xml:space="preserve">Приложение 2 </w:t>
      </w:r>
    </w:p>
    <w:p w:rsidR="00E148C3" w:rsidRDefault="006655E2">
      <w:pPr>
        <w:pStyle w:val="doc-info"/>
        <w:divId w:val="51755030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Указу Президента Республики Беларусь от 2 июня 2006 года №371</w:t>
      </w:r>
    </w:p>
    <w:p w:rsidR="00E148C3" w:rsidRDefault="006655E2">
      <w:pPr>
        <w:pStyle w:val="2"/>
        <w:divId w:val="517550304"/>
        <w:rPr>
          <w:rFonts w:ascii="Tahoma" w:eastAsia="Times New Roman" w:hAnsi="Tahoma" w:cs="Tahoma"/>
          <w:sz w:val="29"/>
          <w:szCs w:val="29"/>
        </w:rPr>
      </w:pPr>
      <w:bookmarkStart w:id="4" w:name="A000000006"/>
      <w:bookmarkEnd w:id="4"/>
      <w:r>
        <w:rPr>
          <w:rFonts w:ascii="Tahoma" w:eastAsia="Times New Roman" w:hAnsi="Tahoma" w:cs="Tahoma"/>
          <w:sz w:val="29"/>
          <w:szCs w:val="29"/>
        </w:rPr>
        <w:t xml:space="preserve">Перечень туристических услуг по организации на территории Республики Беларусь экскурсионного обслуживания, </w:t>
      </w:r>
      <w:proofErr w:type="gramStart"/>
      <w:r>
        <w:rPr>
          <w:rFonts w:ascii="Tahoma" w:eastAsia="Times New Roman" w:hAnsi="Tahoma" w:cs="Tahoma"/>
          <w:sz w:val="29"/>
          <w:szCs w:val="29"/>
        </w:rPr>
        <w:t>обороты</w:t>
      </w:r>
      <w:proofErr w:type="gramEnd"/>
      <w:r>
        <w:rPr>
          <w:rFonts w:ascii="Tahoma" w:eastAsia="Times New Roman" w:hAnsi="Tahoma" w:cs="Tahoma"/>
          <w:sz w:val="29"/>
          <w:szCs w:val="29"/>
        </w:rPr>
        <w:t xml:space="preserve"> по реализации которых освобождаются от налогообложения налогом на добавленную стоимость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подготовке, организации и проведению экскурсий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и обеспечению питанием экскурсантов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Услуги по организации перевозок экскурсантов различными видами транспорта</w:t>
      </w:r>
    </w:p>
    <w:p w:rsidR="00E148C3" w:rsidRDefault="006655E2">
      <w:pPr>
        <w:shd w:val="clear" w:color="auto" w:fill="FFFFFF"/>
        <w:spacing w:before="105"/>
        <w:jc w:val="both"/>
        <w:divId w:val="128053044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(Приложение 2 изложено в новой редакции в соответствии с Указом Президента Республике Беларусь от 11.07.2012 г. №</w:t>
      </w:r>
      <w:hyperlink r:id="rId20" w:tooltip="Ссылка на Указ Президента Республики Беларусь О некоторых вопросах налогообложения и взимания арендной платы за земельные участки, находящиеся в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312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shd w:val="clear" w:color="auto" w:fill="FFFFFF"/>
        <w:spacing w:before="105"/>
        <w:jc w:val="both"/>
        <w:divId w:val="10664910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1" w:anchor="A000000006" w:tooltip="Ссылка на редакцию документа от 09/03/2010 :: Перечень туристических услуг по организации на территории Республики Беларусь экскурсионного обслуж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E148C3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E148C3" w:rsidRDefault="006655E2">
      <w:pPr>
        <w:pStyle w:val="dname"/>
        <w:divId w:val="517550304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 xml:space="preserve">Приложение 3 </w:t>
      </w:r>
    </w:p>
    <w:p w:rsidR="00E148C3" w:rsidRDefault="006655E2">
      <w:pPr>
        <w:pStyle w:val="doc-info"/>
        <w:divId w:val="51755030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Указу Президента Республики Беларусь от 2 июня 2006 года №371</w:t>
      </w:r>
    </w:p>
    <w:p w:rsidR="00E148C3" w:rsidRDefault="006655E2">
      <w:pPr>
        <w:pStyle w:val="2"/>
        <w:divId w:val="517550304"/>
        <w:rPr>
          <w:rFonts w:ascii="Tahoma" w:eastAsia="Times New Roman" w:hAnsi="Tahoma" w:cs="Tahoma"/>
          <w:sz w:val="29"/>
          <w:szCs w:val="29"/>
        </w:rPr>
      </w:pPr>
      <w:bookmarkStart w:id="5" w:name="A000000007"/>
      <w:bookmarkEnd w:id="5"/>
      <w:r>
        <w:rPr>
          <w:rFonts w:ascii="Tahoma" w:eastAsia="Times New Roman" w:hAnsi="Tahoma" w:cs="Tahoma"/>
          <w:sz w:val="29"/>
          <w:szCs w:val="29"/>
        </w:rPr>
        <w:t>Перечень туристических объектов, при осуществлении деятельности на которых прибыль организаций, полученная от оказываемых гостиницами услуг, от оказываемых физкультурно-оздоровительными, туристическими, туристско-гостиничными и горнолыжными комплексами, домами охотников и (или) рыболовов, мотелями, кемпингами услуг по размещению туристов, освобождается от налогообложения налогом на прибыль в течение трех лет с начала осуществления этой деятельности</w:t>
      </w:r>
    </w:p>
    <w:p w:rsidR="00E148C3" w:rsidRDefault="006655E2">
      <w:pPr>
        <w:pStyle w:val="a3"/>
        <w:spacing w:before="0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06.04.2017 г. №</w:t>
      </w:r>
      <w:hyperlink r:id="rId22" w:tooltip="Ссылка на Указ Президента Республики Беларусь О налогообложении и взимании арендной платы за земельные участки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105</w:t>
        </w:r>
      </w:hyperlink>
    </w:p>
    <w:p w:rsidR="00E148C3" w:rsidRDefault="006655E2">
      <w:pPr>
        <w:shd w:val="clear" w:color="auto" w:fill="FFFFFF"/>
        <w:spacing w:before="105"/>
        <w:jc w:val="both"/>
        <w:divId w:val="192795809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3" w:anchor="A000000007" w:tooltip="Ссылка на редакцию документа от 11/07/2012 :: Перечень туристических объектов, при осуществлении деятельности на которых прибыль организаций, пол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6655E2" w:rsidRDefault="006655E2">
      <w:pPr>
        <w:pStyle w:val="a3"/>
        <w:divId w:val="51755030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sectPr w:rsidR="006655E2" w:rsidSect="00D26523">
      <w:headerReference w:type="default" r:id="rId24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BF8" w:rsidRDefault="00F53BF8" w:rsidP="005359D2">
      <w:r>
        <w:separator/>
      </w:r>
    </w:p>
  </w:endnote>
  <w:endnote w:type="continuationSeparator" w:id="0">
    <w:p w:rsidR="00F53BF8" w:rsidRDefault="00F53BF8" w:rsidP="0053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BF8" w:rsidRDefault="00F53BF8" w:rsidP="005359D2">
      <w:r>
        <w:separator/>
      </w:r>
    </w:p>
  </w:footnote>
  <w:footnote w:type="continuationSeparator" w:id="0">
    <w:p w:rsidR="00F53BF8" w:rsidRDefault="00F53BF8" w:rsidP="005359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0221440"/>
      <w:docPartObj>
        <w:docPartGallery w:val="Page Numbers (Top of Page)"/>
        <w:docPartUnique/>
      </w:docPartObj>
    </w:sdtPr>
    <w:sdtEndPr/>
    <w:sdtContent>
      <w:p w:rsidR="005359D2" w:rsidRDefault="005359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523">
          <w:rPr>
            <w:noProof/>
          </w:rPr>
          <w:t>3</w:t>
        </w:r>
        <w:r>
          <w:fldChar w:fldCharType="end"/>
        </w:r>
      </w:p>
    </w:sdtContent>
  </w:sdt>
  <w:p w:rsidR="005359D2" w:rsidRDefault="005359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359D2"/>
    <w:rsid w:val="005359D2"/>
    <w:rsid w:val="006655E2"/>
    <w:rsid w:val="00D26523"/>
    <w:rsid w:val="00E148C3"/>
    <w:rsid w:val="00F5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535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9D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9D2"/>
    <w:rPr>
      <w:rFonts w:eastAsiaTheme="minorEastAsia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265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6523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5359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59D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5359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59D2"/>
    <w:rPr>
      <w:rFonts w:eastAsiaTheme="minorEastAsia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D2652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26523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50304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00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48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67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9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398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395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47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4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10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80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96136" TargetMode="External"/><Relationship Id="rId13" Type="http://schemas.openxmlformats.org/officeDocument/2006/relationships/hyperlink" Target="vfp:///rid=57070" TargetMode="External"/><Relationship Id="rId18" Type="http://schemas.openxmlformats.org/officeDocument/2006/relationships/hyperlink" Target="vfp:///rgn=5357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vfp:///rid=9961" TargetMode="External"/><Relationship Id="rId7" Type="http://schemas.openxmlformats.org/officeDocument/2006/relationships/hyperlink" Target="vfp:///rgn=53575" TargetMode="External"/><Relationship Id="rId12" Type="http://schemas.openxmlformats.org/officeDocument/2006/relationships/hyperlink" Target="vfp:///rgn=96136" TargetMode="External"/><Relationship Id="rId17" Type="http://schemas.openxmlformats.org/officeDocument/2006/relationships/hyperlink" Target="vfp:///rid=9961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vfp:///rgn=53575" TargetMode="External"/><Relationship Id="rId20" Type="http://schemas.openxmlformats.org/officeDocument/2006/relationships/hyperlink" Target="vfp:///rgn=53575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vfp:///rgn=53575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vfp:///rid=57070" TargetMode="External"/><Relationship Id="rId23" Type="http://schemas.openxmlformats.org/officeDocument/2006/relationships/hyperlink" Target="vfp:///rid=57070" TargetMode="External"/><Relationship Id="rId10" Type="http://schemas.openxmlformats.org/officeDocument/2006/relationships/hyperlink" Target="vfp:///rgn=14014" TargetMode="External"/><Relationship Id="rId19" Type="http://schemas.openxmlformats.org/officeDocument/2006/relationships/hyperlink" Target="vfp:///rid=99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fp:///rgn=14014" TargetMode="External"/><Relationship Id="rId14" Type="http://schemas.openxmlformats.org/officeDocument/2006/relationships/hyperlink" Target="vfp:///rgn=96136" TargetMode="External"/><Relationship Id="rId22" Type="http://schemas.openxmlformats.org/officeDocument/2006/relationships/hyperlink" Target="vfp:///rgn=961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3</cp:revision>
  <cp:lastPrinted>2017-05-12T12:01:00Z</cp:lastPrinted>
  <dcterms:created xsi:type="dcterms:W3CDTF">2017-05-05T11:12:00Z</dcterms:created>
  <dcterms:modified xsi:type="dcterms:W3CDTF">2017-05-12T12:01:00Z</dcterms:modified>
</cp:coreProperties>
</file>